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762000" cy="9429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62000" cy="9429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Р Е С П У Б Л И К А</w:t>
        <w:tab/>
        <w:t xml:space="preserve">Д А Г Е С ТА Н</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ОРГАН МЕСТНОГО САМОУПРАВЛЕНИЯ КОНТРОЛЬНО-СЧЕТНАЯ ПАЛАТА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МУНИЦИПАЛЬНОГО РАЙОНА «ДЕРБЕНТСКИЙ РАЙОН»</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368602, г. Дербент, ул. Гагарина, 23,</w:t>
        <w:tab/>
        <w:t xml:space="preserve"> тел. (8240) 4-00-34</w:t>
        <w:tab/>
        <w:t xml:space="preserve">email: mr.ksp.0512@mail.ru</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ОТЧЕТ О ДЕЯТЕЛЬНОСТИ КСП ЗА 2025 год</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 Введение</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84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Настоящий отчет о деятельности Контрольно-счетной палаты муниципального района Дербентский район за 2025 год </w:t>
      </w:r>
      <w:bookmarkStart w:colFirst="0" w:colLast="0" w:name="hy0du31gf39g"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подготовлен в соответствии с частью 2 статьи 24 Закона Республики Дагестан от 15 ноября 2011 года № 72 «О Счетной палате Республики Дагестан и некоторых вопросах деятельности контрольно-счетных органов муниципальных образований», Положением Контрольно-счетной палаты МР «Дербентский район» Регламента и должностных инструкций утвержденных Собранием депутатов МР Дербентский район № 12/3 от 26 декабря 2016 года.</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84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Контрольно-счетная палата МР «Дербентский район» (далее – КСП) в отчетном периоде, в рамках реализации полномочий, определенных законодательством, осуществляла контрольно-ревизионную, экспертно-аналитическую и информационную деятельность в соответствии с Планом работы на 2025 год, сформированным, в том числе, на основании предложений Собрания Депутатов и главы МР «Дербентский район».</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Организация работы КСП, строилась на принципах законности, объективности, эффективности, независимости и гласности.</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Особое внимание уделялось оценке результативности и эффективности бюджетных расходов, подготовке предложений по снижению финансовой нагрузки на местный бюджет муниципального района «Дербентский район», путем оптимизации расходов, по взысканию бюджетных средств, использованных по нецелевому назначению, проведению тематических проверок, выявлению неучтенной муниципальной собственности и включению ее в реестр муниципального имущества.</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Проверками были охвачены Отделы Администрации МР «Дербентского района», органы местного самоуправления сельские поселения, муниципальные казенные и бюджетные Учреждения.</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p5rlqrlnbfmy" w:id="1"/>
      <w:bookmarkEnd w:id="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контрольных и экспертно-аналитических мероприятий в адрес Счетной палаты РД, Прокуратуру г. Дербент, Главы муниципального района, Собранию депутатов, Отделам администрации муниципального района направлено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документов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информационно-аналитического содержания.</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2025 году одним из направлений деятельности КСП являлось проведение финансово-экономической экспертизы проектов нормативных правовых актов муниципального района в части, касающейся расходных обязательств муниципального района, а также государственных программ Республики Дагестан.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течение отчетного периода проведено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заседаний, на которых рассмотрены отчеты инспекторов КСП по результатам контрольных и экспертно-аналитических мероприятий, заключения на проекты бюджета МР «Дербентский район», нормативных правовых актов МР «Дербентский район», иные документы, отнесенные к компетенции КСП МР «Дербентский район».</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ходе контроля, за устранением проверяемыми организациями выявленных нарушений, КСП добивалась максимального исполнения своих заключений и представлений, которые снимались с контроля только после принятия необходимых мер или применения к нарушителям установленных законодательством санкций, в виде административных штрафов.</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 Основные итоги работы КСП в 2025 году</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2025 году КСП по итогам плановой и внеплановой работы проведено 34 контрольных и экспертно-аналитических мероприятия, в ходе которых проверена деятельность 32-х учреждений и организаций, из них:</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органов местного самоуправления – 5;</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образовательных учреждений – 20, [Учреждения общего образования -11; Дет Сады -4; Учреждения Доп. Образования -5];</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муниципальных бюджетных и казенных учреждений – 7.</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Контрольные и экспертно-аналитические мероприятия проведены на основании Плана работы КСП на 2025 год, предложений главы муниципального района «Дербентский район», председателя Собрания депутатов муниципального района «Дербентский район», поручений Счетной палаты РД, поручений прокуратуры г. Дербент, внеплановые поручения, из них:</w:t>
      </w:r>
    </w:p>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согласно, Плану работы П.1. «Контрольные мероприятия» - </w:t>
        <w:tab/>
        <w:t xml:space="preserve">23;</w:t>
      </w:r>
    </w:p>
    <w:p w:rsidR="00000000" w:rsidDel="00000000" w:rsidP="00000000" w:rsidRDefault="00000000" w:rsidRPr="00000000" w14:paraId="0000001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согласно, Плану работы П.2. «Оперативный контроль»</w:t>
        <w:tab/>
        <w:tab/>
        <w:t xml:space="preserve">2;</w:t>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предложений главы МР Дербентский район</w:t>
        <w:tab/>
        <w:tab/>
        <w:tab/>
        <w:t xml:space="preserve">2;</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предложений Собрания депутатов </w:t>
        <w:tab/>
        <w:tab/>
        <w:tab/>
        <w:tab/>
        <w:t xml:space="preserve">4;</w:t>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внеплановые контрольные мероприятия</w:t>
        <w:tab/>
        <w:tab/>
        <w:tab/>
        <w:tab/>
        <w:t xml:space="preserve">3.</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проведенных контрольных мероприятий КСП выявлено бюджетно-финансовых нарушений на общую сумму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57257,93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тыс. руб.</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адрес руководителей объектов проверок внесено 28 заключений, восемь Представлений, об устранении выявленных нарушений.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отчетный период 2025 год, в судебные органы представлено 17 административных протоколов в отношении 11 объектов финансового контроля, для привлечения к административной ответственности.</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соответствии с представленными Протоколами, 11 объектов финансового контроля, допустивших нарушения бюджетного законодательства, привлечены к ответственности, из них: юридических лиц -10; физических лиц -2.</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Согласно Постановлениям по делам об административных правонарушениях, юридические и физические лица признаны виновными в совершении административного правонарушения и привлечены к административным наказаниям в виде штрафов на общую сумму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89,3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тыс. руб.</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отчетный период 2025 год, сумма штрафов, поступившая в бюджет муниципального образования «Дербентский район» составила 89,3 тыс. руб.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контроля исполнения заключений и Представлений, на дату 01 января 2026 года устранено нарушений на сумму 9805,4 тыс. руб., в том числе:</w:t>
      </w:r>
    </w:p>
    <w:p w:rsidR="00000000" w:rsidDel="00000000" w:rsidP="00000000" w:rsidRDefault="00000000" w:rsidRPr="00000000" w14:paraId="0000002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приведены в соответствие электронные документы по гос. закупкам – 6,7 тыс. руб.;</w:t>
      </w:r>
    </w:p>
    <w:p w:rsidR="00000000" w:rsidDel="00000000" w:rsidP="00000000" w:rsidRDefault="00000000" w:rsidRPr="00000000" w14:paraId="0000002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уточнена (удержана/доплачена) заработная плата </w:t>
        <w:tab/>
        <w:t xml:space="preserve">- 3456,2 тыс. руб.;</w:t>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восстановлены документы по первичному учету – 6342,5 тыс. руб.</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итогам контрольных мероприятий обеспечен возврат средств в бюджеты всех уровней бюджетной системы РФ в объеме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5560,6 тыс. руб.</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Основные показатели деятельности Контрольно-счетной палаты муниципального района приведены в таблице №1</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Таблица №1</w:t>
        <w:tab/>
        <w:tab/>
        <w:tab/>
        <w:tab/>
        <w:tab/>
        <w:tab/>
        <w:tab/>
        <w:tab/>
        <w:t xml:space="preserve">в тыс. руб.</w:t>
      </w:r>
    </w:p>
    <w:tbl>
      <w:tblPr>
        <w:tblStyle w:val="Table1"/>
        <w:tblW w:w="92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6521"/>
        <w:gridCol w:w="2126"/>
        <w:tblGridChange w:id="0">
          <w:tblGrid>
            <w:gridCol w:w="567"/>
            <w:gridCol w:w="6521"/>
            <w:gridCol w:w="2126"/>
          </w:tblGrid>
        </w:tblGridChange>
      </w:tblGrid>
      <w:tr>
        <w:trPr>
          <w:cantSplit w:val="0"/>
          <w:trHeight w:val="428" w:hRule="atLeast"/>
          <w:tblHeader w:val="1"/>
        </w:trPr>
        <w:tc>
          <w:tcP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Наименование показателя</w:t>
            </w:r>
            <w:r w:rsidDel="00000000" w:rsidR="00000000" w:rsidRPr="00000000">
              <w:rPr>
                <w:rtl w:val="0"/>
              </w:rPr>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2025 год</w:t>
            </w:r>
            <w:r w:rsidDel="00000000" w:rsidR="00000000" w:rsidRPr="00000000">
              <w:rPr>
                <w:rtl w:val="0"/>
              </w:rPr>
            </w:r>
          </w:p>
        </w:tc>
      </w:tr>
      <w:tr>
        <w:trPr>
          <w:cantSplit w:val="0"/>
          <w:trHeight w:val="150" w:hRule="atLeast"/>
          <w:tblHeader w:val="0"/>
        </w:trPr>
        <w:tc>
          <w:tcP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Количество проведенных контрольных мероприятий</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w:t>
            </w:r>
          </w:p>
        </w:tc>
      </w:tr>
      <w:tr>
        <w:trPr>
          <w:cantSplit w:val="0"/>
          <w:trHeight w:val="132" w:hRule="atLeast"/>
          <w:tblHeader w:val="0"/>
        </w:trPr>
        <w:tc>
          <w:tcP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Объем проверенных средств, тыс. рублей</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816361,3,0</w:t>
            </w:r>
          </w:p>
        </w:tc>
      </w:tr>
      <w:tr>
        <w:trPr>
          <w:cantSplit w:val="1"/>
          <w:trHeight w:val="562" w:hRule="atLeast"/>
          <w:tblHeader w:val="0"/>
        </w:trPr>
        <w:tc>
          <w:tcPr>
            <w:vMerge w:val="restart"/>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Выявлено нарушений по итогам КМ (тыс. руб.)</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том числе:</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57257,93</w:t>
            </w:r>
          </w:p>
        </w:tc>
      </w:tr>
      <w:tr>
        <w:trPr>
          <w:cantSplit w:val="1"/>
          <w:tblHeader w:val="0"/>
        </w:trPr>
        <w:tc>
          <w:tcPr>
            <w:vMerge w:val="continue"/>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нецелевое использование бюджетных средств</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252,8</w:t>
            </w:r>
          </w:p>
        </w:tc>
      </w:tr>
      <w:tr>
        <w:trPr>
          <w:cantSplit w:val="1"/>
          <w:trHeight w:val="676" w:hRule="atLeast"/>
          <w:tblHeader w:val="0"/>
        </w:trPr>
        <w:tc>
          <w:tcPr>
            <w:vMerge w:val="continue"/>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нарушения при формировании исполнении бюджета,</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том числе неисполнение собственных доходов</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9244,73</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1677,3</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405" w:hRule="atLeast"/>
          <w:tblHeader w:val="0"/>
        </w:trPr>
        <w:tc>
          <w:tcPr>
            <w:vMerge w:val="continue"/>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нарушения при ведении бухгалтерского учета </w:t>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7686,9</w:t>
            </w:r>
          </w:p>
        </w:tc>
      </w:tr>
      <w:tr>
        <w:trPr>
          <w:cantSplit w:val="1"/>
          <w:tblHeader w:val="0"/>
        </w:trPr>
        <w:tc>
          <w:tcPr>
            <w:vMerge w:val="continue"/>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нарушения в сфере управления и распоряжения муниципальной собственностью</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1679,6</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нарушения при гос. закупках</w:t>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6,7</w:t>
            </w:r>
          </w:p>
        </w:tc>
      </w:tr>
      <w:tr>
        <w:trPr>
          <w:cantSplit w:val="0"/>
          <w:tblHeader w:val="0"/>
        </w:trPr>
        <w:tc>
          <w:tcP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неэффективное использование бюджетных средств</w:t>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7903,9</w:t>
            </w:r>
          </w:p>
        </w:tc>
      </w:tr>
      <w:tr>
        <w:trPr>
          <w:cantSplit w:val="0"/>
          <w:tblHeader w:val="0"/>
        </w:trPr>
        <w:tc>
          <w:tcP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21" w:hRule="atLeast"/>
          <w:tblHeader w:val="0"/>
        </w:trPr>
        <w:tc>
          <w:tcPr>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Направлено представлений</w:t>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r>
      <w:tr>
        <w:trPr>
          <w:cantSplit w:val="0"/>
          <w:trHeight w:val="411" w:hRule="atLeast"/>
          <w:tblHeader w:val="0"/>
        </w:trPr>
        <w:tc>
          <w:tcP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Вынесено заключений</w:t>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w:t>
            </w:r>
          </w:p>
        </w:tc>
      </w:tr>
      <w:tr>
        <w:trPr>
          <w:cantSplit w:val="0"/>
          <w:trHeight w:val="593" w:hRule="atLeast"/>
          <w:tblHeader w:val="0"/>
        </w:trPr>
        <w:tc>
          <w:tcP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Количество материалов по итогам контрольных мероприятий, направленных в правоохранительные органы, прокуратуру</w:t>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Количество составленных протоколов об административных правонарушениях 2025 г. </w:t>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w:t>
            </w:r>
          </w:p>
        </w:tc>
      </w:tr>
      <w:tr>
        <w:trPr>
          <w:cantSplit w:val="0"/>
          <w:tblHeader w:val="0"/>
        </w:trPr>
        <w:tc>
          <w:tcPr>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Недофинансирование из бюджета, для исполнения муниципального задания</w:t>
            </w:r>
          </w:p>
        </w:tc>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30483,3</w:t>
            </w:r>
          </w:p>
        </w:tc>
      </w:tr>
      <w:tr>
        <w:trPr>
          <w:cantSplit w:val="0"/>
          <w:trHeight w:val="103" w:hRule="atLeast"/>
          <w:tblHeader w:val="0"/>
        </w:trPr>
        <w:tc>
          <w:tcPr>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Подготовлено заключений по результатам финансово-экономической экспертизы проектов нормативных правовых актов </w:t>
            </w:r>
          </w:p>
        </w:tc>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r>
    </w:tbl>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Реализация органом местного самоуправления предложений и рекомендаций контрольно-счетной палаты </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2025 году с учетом полномочий, предоставленных Кодексом Российской Федерации об административных правонарушениях и Законом Республики Дагестан от 15 ноября 2011 года № 72 «О Счетной палате Республики Дагестан и некоторых вопросах деятельности контрольно-счетных органов муниципальных образований», продолжена работа по привлечению к административной ответственности должностных лиц, совершивших административные правонарушения в финансово-бюджетной сфере, а также в сфере управления, связанная с реализацией полномочий должностными лицами органов финансового контроля. Статистические показатели работы на данном направлении деятельности и анализ практики возбуждения инспекторами КСП дел об административных правонарушениях свидетельствуют о существенной активизации в использовании процессуальных полномочий по выявлению и пресечению административных правонарушений в названных сферах.</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Одним из приоритетных направлений деятельности Счетной палаты в 2025 году является экспертно-аналитическая работа, направленная на выявление причин отклонений от установленных показателей и нарушений в процессе формирования доходов и расходов бюджета муниципального района, эффективности использования муниципальной собственности.</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IV. Контрольная деятельность Счетной палаты</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КСП в 2025 году проведено 32 контрольных мероприятия объектов бюджетополучателей, в ходе которых выявлены финансовые нарушения в сумме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26774,63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тыс. руб.</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Результаты проверок показывают, что бюджетополучателями муниципального района, допускаются нарушения требований бюджетного законодательства, как при составлении, утверждении, так и в ходе исполнения местного бюджета.</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Таблице №2 представлены объекты контрольного мероприятия, по которым выявлены финансовые нарушения при использовании бюджетных средств.</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Таблица №2</w:t>
        <w:tab/>
        <w:tab/>
        <w:tab/>
        <w:tab/>
        <w:tab/>
        <w:tab/>
        <w:tab/>
        <w:tab/>
        <w:t xml:space="preserve">в тыс. руб.</w:t>
      </w:r>
    </w:p>
    <w:tbl>
      <w:tblPr>
        <w:tblStyle w:val="Table2"/>
        <w:tblW w:w="8735.0" w:type="dxa"/>
        <w:jc w:val="left"/>
        <w:tblInd w:w="5.0" w:type="dxa"/>
        <w:tblLayout w:type="fixed"/>
        <w:tblLook w:val="0000"/>
      </w:tblPr>
      <w:tblGrid>
        <w:gridCol w:w="602"/>
        <w:gridCol w:w="4213"/>
        <w:gridCol w:w="3920"/>
        <w:tblGridChange w:id="0">
          <w:tblGrid>
            <w:gridCol w:w="602"/>
            <w:gridCol w:w="4213"/>
            <w:gridCol w:w="392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Наименование</w:t>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Нарушения</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Д/С Алена Белиджи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137,0</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Гаджибабаева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524,6</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ДЮСШ №2 пос. Белиджи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135,8</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ДЮСШ №5 Хазар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175,6</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ДС Колосок, с. Деличобан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221,8</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Митаги-Казмаляр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212,2</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Музаим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361,8</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Рукель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388,0</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Чинар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4353,3</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Школа САД с. Джалган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293,7</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МБУ «Редакция Дербентские известия»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1828,93</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МБУ «Райсервис»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4781,0</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 село Белиджи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1714,5</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14</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 село Куллар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953,6</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15</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 Аглоби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579,5</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16</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ДС Севиндж, с. Падар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119,7</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17</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ГП пос. Белиджи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885,0</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18</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СпортШк. №6 с. Куллар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182,7</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19</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 село Рукель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793,6</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ДС Ласточка Джемикент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864,7</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21</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1 с Белиджи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552,9</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22</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Татляр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1629,0</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23</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ДШИ Хазар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119,7</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24</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ДШИ Татляр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988,1</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25</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ЕДДС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418,1</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26</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МЦБС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136,2</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27</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с. Кала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854,0</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28</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с. Аглоби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1970,6</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29</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Уллу-Теркеме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582,9</w:t>
            </w:r>
          </w:p>
        </w:tc>
      </w:tr>
      <w:tr>
        <w:trPr>
          <w:cantSplit w:val="0"/>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30</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Управление Культуры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17,7</w:t>
            </w:r>
          </w:p>
        </w:tc>
      </w:tr>
      <w:tr>
        <w:trPr>
          <w:cantSplit w:val="0"/>
          <w:trHeight w:val="407" w:hRule="atLeast"/>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Итого: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26774,63</w:t>
            </w:r>
          </w:p>
        </w:tc>
      </w:tr>
    </w:tbl>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Формирование и исполнение бюджета</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Неправомерное использование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бюджетных средств выявлено на общую сумму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9244,73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тыс. рублей, в том числе: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не учтено при формировании и исполнении бюджета (сметы)</w:t>
        <w:tab/>
        <w:tab/>
        <w:t xml:space="preserve">9244,73 тыс. руб.:</w:t>
      </w: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Гаджибабаева</w:t>
        <w:tab/>
        <w:tab/>
        <w:tab/>
        <w:tab/>
        <w:t xml:space="preserve">22,3</w:t>
        <w:tab/>
        <w:tab/>
        <w:tab/>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Сош Митаги-Казмаляр</w:t>
        <w:tab/>
        <w:tab/>
        <w:tab/>
        <w:t xml:space="preserve">95</w:t>
        <w:tab/>
        <w:tab/>
        <w:tab/>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МБУ «Дербентские известия»</w:t>
        <w:tab/>
        <w:tab/>
        <w:tab/>
        <w:t xml:space="preserve">274,63</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МБУ «Райсервис»</w:t>
        <w:tab/>
        <w:tab/>
        <w:tab/>
        <w:tab/>
        <w:t xml:space="preserve">3307,7</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 село Белиджи</w:t>
        <w:tab/>
        <w:tab/>
        <w:tab/>
        <w:tab/>
        <w:t xml:space="preserve">1702,4</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 село Куллар</w:t>
        <w:tab/>
        <w:tab/>
        <w:tab/>
        <w:tab/>
        <w:t xml:space="preserve">924,8</w:t>
        <w:tab/>
        <w:tab/>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 Аглоби</w:t>
        <w:tab/>
        <w:tab/>
        <w:tab/>
        <w:tab/>
        <w:tab/>
        <w:t xml:space="preserve">577,7</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ДС Севиндж, с. Падар</w:t>
        <w:tab/>
        <w:tab/>
        <w:tab/>
        <w:tab/>
        <w:t xml:space="preserve">62,8</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ГП пос. Белиджи</w:t>
        <w:tab/>
        <w:tab/>
        <w:tab/>
        <w:tab/>
        <w:t xml:space="preserve">870,3</w:t>
        <w:tab/>
        <w:tab/>
        <w:tab/>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ДС Ласточка, с. Джемикент</w:t>
        <w:tab/>
        <w:tab/>
        <w:tab/>
        <w:t xml:space="preserve">697,3</w:t>
      </w: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 Рукель</w:t>
        <w:tab/>
        <w:tab/>
        <w:tab/>
        <w:tab/>
        <w:tab/>
        <w:t xml:space="preserve">709,8</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Зачастую, объектами контрольного мероприятия: приобретенные ОС, МЗ не ставятся на оперативный учет своевременно, что приводит к искажению годовой бухгалтерской отчетности, а также к искажению по расчетам с дебиторами и кредиторами.</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материалах (заключениях и представлениях) КСП, направляемых по результатам контрольных мероприятий, Отделам администрации, образовательным учреждениям, органам местного самоуправления рекомендовано принять соответствующие меры, направленные на:</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проведение анализа нарушений и недостатков и разработку комплекса мероприятий, направленных на их устранение;</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обеспечение организации бюджетного процесса в соответствии с требованиями бюджетного законодательства;</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принятие мер по выполнению условий соглашений о мерах по повышению эффективности использования бюджетных средств и увеличению поступления налоговых и неналоговых доходов местных бюджетов;</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оптимизацию бюджетных расходов в том числе, на основе анализа и инвентаризации бюджетных расходов, определения ожидаемого эффекта и достижения установленных индикаторов;</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проведение инвентаризации объектов муниципального имущества с целью выявления неиспользуемого имущества и установления направлений их эффективного использования, включая земли и имущество, переданные на праве хозяйственного и оперативного управления;</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привлечение к дисциплинарной ответственности должностных лиц, допускающих неэффективное использование бюджетных средств, за ненадлежащее исполнение возложенных на них обязанностей, повлекшее за собой избыточное и нерациональное использование бюджетных средств.</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 Экспертно-аналитическая деятельность</w:t>
      </w: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1111"/>
          <w:sz w:val="24"/>
          <w:szCs w:val="24"/>
          <w:highlight w:val="white"/>
          <w:u w:val="none"/>
          <w:vertAlign w:val="baseline"/>
          <w:rtl w:val="0"/>
        </w:rPr>
        <w:t xml:space="preserve">В рамках реализации задач, определенных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Законом Республики Дагестан от 15 ноября 2011 года № 72 «О Счетной палате Республики Дагестан и некоторых вопросах деятельности контрольно-счетных органов муниципальных образований» в отчетном году Контрольно-счетной палатой осуществлялась экспертно-аналитическая деятельность.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соответствии со стандартом государственного финансового контроля «Проверка и анализ эффективности внутреннего финансового контроля и внутреннего финансового аудита, осуществляемых главными администраторами бюджетных средств», утвержденного приказом председателя КСП МР «Дербентский район» от 24 января  2018г. № 11, в 2025 году проведена финансово-экономическая экспертиза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двух</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проектов нормативных правовых актов муниципального района «Дербентский район» в том числе:</w:t>
      </w:r>
    </w:p>
    <w:p w:rsidR="00000000" w:rsidDel="00000000" w:rsidP="00000000" w:rsidRDefault="00000000" w:rsidRPr="00000000" w14:paraId="000000F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Заключение Контрольно-счетной палаты МР «Дербентский район» по результатам внешней проверки бюджетной отчетности исполнения бюджета муниципального района «Дербентский район» за 2024 год, в части деятельности главного администратора бюджетных средств [ГАБС].</w:t>
      </w:r>
    </w:p>
    <w:p w:rsidR="00000000" w:rsidDel="00000000" w:rsidP="00000000" w:rsidRDefault="00000000" w:rsidRPr="00000000" w14:paraId="000000F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Заключение Контрольно-счетной палаты МР «Дербентский район» на проект Решения Собрания депутатов МР «Дербентский район» «О проекте бюджета МР «Дербентский район» на 2026 год и плановый период 2027-2028 годы».</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VII. Гласность в работе Счетной палаты Республики Дагестан</w:t>
      </w: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2025 году деятельность КСП освещалась в средствах массовой информации. Информация о работе КСП размещалась на официальном сайте в сети «Интернет»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derbentrayon.ru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 странице сайта муниципального района «Дербентский район», в разделе «Контрольно-счетная палата».</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Итоговые документы (Заключения, План работы, отчеты, нормативно-правовые документы, реестры и т.д.) по результатам проведенных контрольных мероприятий КСП ежеквартально размещались на официальном сайте муниципального района «Дербентский район».</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VIII. Основные направления деятельности </w:t>
      </w: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Контрольно-счетной палаты на 2025 год.</w:t>
      </w: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Основные направления деятельности КСП в 2025 году сформированы в соответствии с задачами и функциями, возложенными на Счетную палату Конституцией Республики Дагестан,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Бюджетным кодексом Российской Федерации и Законом  Республики Дагестан от 15 ноября 2011 года № 72 «О Счетной палате Республики Дагестан и некоторых вопросах деятельности контрольно-счетных органов муниципальных образований», Положением и Регламентом Контрольно-счетной палаты муниципального района «Дербентский район»</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4w2n6l26kt3d" w:id="2"/>
      <w:bookmarkEnd w:id="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2026 году КСП будет продолжена реализация задач, законодательно закрепленных за КСП. В текущем году запланировано проведение 29 контрольных и 5 экспертно-аналитических мероприятий. В рамках реализации своих полномочий одной из первоочередных задач КСП считает обеспечение аудита формирования и контроля исполнения местного бюджета муниципального района «Дербентский район».</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рамках возложенных полномочий особое внимание будет уделено проведению анализа качества макроэкономического прогнозирования, включая оценку налогового потенциала и достоверности прогноза формирования доходной части консолидированного бюджета муниципального района «Дербентский район».</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ходе контрольных и экспертно-аналитических мероприятий планируется обеспечить выявление и предупреждение недостатков и нарушений системного характера, что позволит минимизировать риски неэффективного и нецелевого расходования бюджетных средств.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Председатель КСП</w:t>
        <w:tab/>
        <w:tab/>
        <w:tab/>
        <w:tab/>
        <w:tab/>
        <w:tab/>
        <w:tab/>
        <w:tab/>
        <w:tab/>
        <w:t xml:space="preserve">Т.Р. Рамазанов</w:t>
      </w:r>
    </w:p>
    <w:sectPr>
      <w:footerReference r:id="rId7" w:type="default"/>
      <w:pgSz w:h="16838" w:w="11906" w:orient="portrait"/>
      <w:pgMar w:bottom="709" w:top="851" w:left="1276" w:right="113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86" w:hanging="360.00000000000006"/>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1429" w:hanging="360"/>
      </w:pPr>
      <w:rPr>
        <w:rFonts w:ascii="Noto Sans Symbols" w:cs="Noto Sans Symbols" w:eastAsia="Noto Sans Symbols" w:hAnsi="Noto Sans Symbols"/>
        <w:vertAlign w:val="baseline"/>
      </w:rPr>
    </w:lvl>
    <w:lvl w:ilvl="1">
      <w:start w:val="1"/>
      <w:numFmt w:val="bullet"/>
      <w:lvlText w:val="o"/>
      <w:lvlJc w:val="left"/>
      <w:pPr>
        <w:ind w:left="2149" w:hanging="360"/>
      </w:pPr>
      <w:rPr>
        <w:rFonts w:ascii="Courier New" w:cs="Courier New" w:eastAsia="Courier New" w:hAnsi="Courier New"/>
        <w:vertAlign w:val="baseline"/>
      </w:rPr>
    </w:lvl>
    <w:lvl w:ilvl="2">
      <w:start w:val="1"/>
      <w:numFmt w:val="bullet"/>
      <w:lvlText w:val="▪"/>
      <w:lvlJc w:val="left"/>
      <w:pPr>
        <w:ind w:left="2869" w:hanging="360"/>
      </w:pPr>
      <w:rPr>
        <w:rFonts w:ascii="Noto Sans Symbols" w:cs="Noto Sans Symbols" w:eastAsia="Noto Sans Symbols" w:hAnsi="Noto Sans Symbols"/>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bullet"/>
      <w:lvlText w:val="o"/>
      <w:lvlJc w:val="left"/>
      <w:pPr>
        <w:ind w:left="4309" w:hanging="360"/>
      </w:pPr>
      <w:rPr>
        <w:rFonts w:ascii="Courier New" w:cs="Courier New" w:eastAsia="Courier New" w:hAnsi="Courier New"/>
        <w:vertAlign w:val="baseline"/>
      </w:rPr>
    </w:lvl>
    <w:lvl w:ilvl="5">
      <w:start w:val="1"/>
      <w:numFmt w:val="bullet"/>
      <w:lvlText w:val="▪"/>
      <w:lvlJc w:val="left"/>
      <w:pPr>
        <w:ind w:left="5029" w:hanging="360"/>
      </w:pPr>
      <w:rPr>
        <w:rFonts w:ascii="Noto Sans Symbols" w:cs="Noto Sans Symbols" w:eastAsia="Noto Sans Symbols" w:hAnsi="Noto Sans Symbols"/>
        <w:vertAlign w:val="baseline"/>
      </w:rPr>
    </w:lvl>
    <w:lvl w:ilvl="6">
      <w:start w:val="1"/>
      <w:numFmt w:val="bullet"/>
      <w:lvlText w:val="●"/>
      <w:lvlJc w:val="left"/>
      <w:pPr>
        <w:ind w:left="5749" w:hanging="360"/>
      </w:pPr>
      <w:rPr>
        <w:rFonts w:ascii="Noto Sans Symbols" w:cs="Noto Sans Symbols" w:eastAsia="Noto Sans Symbols" w:hAnsi="Noto Sans Symbols"/>
        <w:vertAlign w:val="baseline"/>
      </w:rPr>
    </w:lvl>
    <w:lvl w:ilvl="7">
      <w:start w:val="1"/>
      <w:numFmt w:val="bullet"/>
      <w:lvlText w:val="o"/>
      <w:lvlJc w:val="left"/>
      <w:pPr>
        <w:ind w:left="6469" w:hanging="360"/>
      </w:pPr>
      <w:rPr>
        <w:rFonts w:ascii="Courier New" w:cs="Courier New" w:eastAsia="Courier New" w:hAnsi="Courier New"/>
        <w:vertAlign w:val="baseline"/>
      </w:rPr>
    </w:lvl>
    <w:lvl w:ilvl="8">
      <w:start w:val="1"/>
      <w:numFmt w:val="bullet"/>
      <w:lvlText w:val="▪"/>
      <w:lvlJc w:val="left"/>
      <w:pPr>
        <w:ind w:left="7189"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