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A7" w:rsidRDefault="00795AE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4D427AB" wp14:editId="0A02C555">
            <wp:simplePos x="0" y="0"/>
            <wp:positionH relativeFrom="page">
              <wp:posOffset>3575685</wp:posOffset>
            </wp:positionH>
            <wp:positionV relativeFrom="margin">
              <wp:posOffset>-232410</wp:posOffset>
            </wp:positionV>
            <wp:extent cx="780415" cy="951230"/>
            <wp:effectExtent l="0" t="0" r="635" b="127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CA7" w:rsidRDefault="004D0CA7">
      <w:pPr>
        <w:spacing w:after="659" w:line="1" w:lineRule="exact"/>
      </w:pPr>
    </w:p>
    <w:p w:rsidR="00795AEB" w:rsidRDefault="00795AEB">
      <w:pPr>
        <w:pStyle w:val="60"/>
        <w:shd w:val="clear" w:color="auto" w:fill="auto"/>
        <w:spacing w:line="254" w:lineRule="auto"/>
        <w:jc w:val="center"/>
        <w:rPr>
          <w:b/>
          <w:bCs/>
          <w:sz w:val="28"/>
          <w:szCs w:val="28"/>
        </w:rPr>
      </w:pPr>
    </w:p>
    <w:p w:rsidR="00795AEB" w:rsidRDefault="00795AEB">
      <w:pPr>
        <w:pStyle w:val="60"/>
        <w:shd w:val="clear" w:color="auto" w:fill="auto"/>
        <w:spacing w:line="254" w:lineRule="auto"/>
        <w:jc w:val="center"/>
        <w:rPr>
          <w:b/>
          <w:bCs/>
          <w:sz w:val="28"/>
          <w:szCs w:val="28"/>
        </w:rPr>
      </w:pPr>
    </w:p>
    <w:p w:rsidR="00795AEB" w:rsidRDefault="00795AEB">
      <w:pPr>
        <w:pStyle w:val="60"/>
        <w:shd w:val="clear" w:color="auto" w:fill="auto"/>
        <w:spacing w:line="254" w:lineRule="auto"/>
        <w:jc w:val="center"/>
        <w:rPr>
          <w:b/>
          <w:bCs/>
          <w:sz w:val="28"/>
          <w:szCs w:val="28"/>
        </w:rPr>
      </w:pPr>
    </w:p>
    <w:p w:rsidR="004D0CA7" w:rsidRPr="00795AEB" w:rsidRDefault="003E581D" w:rsidP="00795AEB">
      <w:pPr>
        <w:pStyle w:val="60"/>
        <w:shd w:val="clear" w:color="auto" w:fill="auto"/>
        <w:spacing w:line="254" w:lineRule="auto"/>
        <w:jc w:val="center"/>
        <w:rPr>
          <w:sz w:val="28"/>
          <w:szCs w:val="28"/>
        </w:rPr>
      </w:pPr>
      <w:r w:rsidRPr="00795AEB">
        <w:rPr>
          <w:b/>
          <w:bCs/>
          <w:sz w:val="28"/>
          <w:szCs w:val="28"/>
        </w:rPr>
        <w:t>РЕСПУБЛИКА ДАГЕСТАН</w:t>
      </w:r>
    </w:p>
    <w:p w:rsidR="004D0CA7" w:rsidRPr="00795AEB" w:rsidRDefault="003E581D">
      <w:pPr>
        <w:pStyle w:val="60"/>
        <w:pBdr>
          <w:bottom w:val="single" w:sz="4" w:space="0" w:color="auto"/>
        </w:pBdr>
        <w:shd w:val="clear" w:color="auto" w:fill="auto"/>
        <w:spacing w:after="520" w:line="254" w:lineRule="auto"/>
        <w:jc w:val="center"/>
        <w:rPr>
          <w:sz w:val="28"/>
          <w:szCs w:val="28"/>
        </w:rPr>
      </w:pPr>
      <w:r w:rsidRPr="00795AEB">
        <w:rPr>
          <w:b/>
          <w:bCs/>
          <w:sz w:val="28"/>
          <w:szCs w:val="28"/>
        </w:rPr>
        <w:t>АДМИНИСТРАЦИЯ МУНИЦИПАЛЬНОГО РАЙОНА</w:t>
      </w:r>
      <w:r w:rsidRPr="00795AEB">
        <w:rPr>
          <w:b/>
          <w:bCs/>
          <w:sz w:val="28"/>
          <w:szCs w:val="28"/>
        </w:rPr>
        <w:br/>
        <w:t>«ДЕРБЕНТСКИЙ РАЙОН»</w:t>
      </w:r>
    </w:p>
    <w:p w:rsidR="004D0CA7" w:rsidRPr="00795AEB" w:rsidRDefault="003E581D">
      <w:pPr>
        <w:pStyle w:val="60"/>
        <w:shd w:val="clear" w:color="auto" w:fill="auto"/>
        <w:spacing w:after="220" w:line="240" w:lineRule="auto"/>
        <w:jc w:val="center"/>
        <w:rPr>
          <w:sz w:val="28"/>
          <w:szCs w:val="28"/>
        </w:rPr>
      </w:pPr>
      <w:r w:rsidRPr="00795AEB">
        <w:rPr>
          <w:b/>
          <w:bCs/>
          <w:sz w:val="28"/>
          <w:szCs w:val="28"/>
        </w:rPr>
        <w:t>ПОСТАНОВЛЕНИЕ</w:t>
      </w:r>
    </w:p>
    <w:p w:rsidR="004D0CA7" w:rsidRPr="00795AEB" w:rsidRDefault="00795AEB">
      <w:pPr>
        <w:pStyle w:val="60"/>
        <w:shd w:val="clear" w:color="auto" w:fill="auto"/>
        <w:tabs>
          <w:tab w:val="left" w:leader="underscore" w:pos="373"/>
          <w:tab w:val="left" w:leader="underscore" w:pos="1142"/>
        </w:tabs>
        <w:spacing w:after="3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3E581D" w:rsidRPr="00795AEB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3E581D" w:rsidRPr="00795AEB">
        <w:rPr>
          <w:sz w:val="28"/>
          <w:szCs w:val="28"/>
        </w:rPr>
        <w:t>2022г.</w:t>
      </w:r>
      <w:r>
        <w:rPr>
          <w:sz w:val="28"/>
          <w:szCs w:val="28"/>
        </w:rPr>
        <w:t xml:space="preserve">                                                                                     №232</w:t>
      </w:r>
    </w:p>
    <w:p w:rsidR="004D0CA7" w:rsidRPr="00795AEB" w:rsidRDefault="003E581D">
      <w:pPr>
        <w:pStyle w:val="60"/>
        <w:shd w:val="clear" w:color="auto" w:fill="auto"/>
        <w:spacing w:after="60" w:line="254" w:lineRule="auto"/>
        <w:jc w:val="center"/>
        <w:rPr>
          <w:sz w:val="28"/>
          <w:szCs w:val="28"/>
        </w:rPr>
      </w:pPr>
      <w:r w:rsidRPr="00795AEB">
        <w:rPr>
          <w:b/>
          <w:bCs/>
          <w:sz w:val="28"/>
          <w:szCs w:val="28"/>
        </w:rPr>
        <w:t>Об основных направлениях бюджетной, налоговой и долговой</w:t>
      </w:r>
      <w:r w:rsidRPr="00795AEB">
        <w:rPr>
          <w:b/>
          <w:bCs/>
          <w:sz w:val="28"/>
          <w:szCs w:val="28"/>
        </w:rPr>
        <w:br/>
        <w:t>политики, повышения эффективности расходования бюджетных</w:t>
      </w:r>
      <w:r w:rsidRPr="00795AEB">
        <w:rPr>
          <w:b/>
          <w:bCs/>
          <w:sz w:val="28"/>
          <w:szCs w:val="28"/>
        </w:rPr>
        <w:br/>
        <w:t xml:space="preserve">средств, наращивания налогового </w:t>
      </w:r>
      <w:r w:rsidRPr="00795AEB">
        <w:rPr>
          <w:b/>
          <w:bCs/>
          <w:sz w:val="28"/>
          <w:szCs w:val="28"/>
        </w:rPr>
        <w:t>потенциала муниципального района</w:t>
      </w:r>
      <w:r w:rsidRPr="00795AEB">
        <w:rPr>
          <w:b/>
          <w:bCs/>
          <w:sz w:val="28"/>
          <w:szCs w:val="28"/>
        </w:rPr>
        <w:br/>
        <w:t>«Дербентский район» на 2023 год и на плановый период 2024 и 2025</w:t>
      </w:r>
      <w:r w:rsidRPr="00795AEB">
        <w:rPr>
          <w:b/>
          <w:bCs/>
          <w:sz w:val="28"/>
          <w:szCs w:val="28"/>
        </w:rPr>
        <w:br/>
        <w:t>годов.</w:t>
      </w:r>
    </w:p>
    <w:p w:rsidR="004D0CA7" w:rsidRPr="00795AEB" w:rsidRDefault="003E581D">
      <w:pPr>
        <w:pStyle w:val="60"/>
        <w:shd w:val="clear" w:color="auto" w:fill="auto"/>
        <w:spacing w:line="254" w:lineRule="auto"/>
        <w:ind w:firstLine="7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В целях содействия социальному и экономическому развитию Дербентского района Республики Дагестан с учетом принципа результативности и эффективности и</w:t>
      </w:r>
      <w:r w:rsidRPr="00795AEB">
        <w:rPr>
          <w:sz w:val="28"/>
          <w:szCs w:val="28"/>
        </w:rPr>
        <w:t>спользования бюджетных средств и реализации положений статьи 184.2 Бюджетного кодекса Российской Федерации и статьи 28 Положения о бюджетном процессе в Дербентском районе Республики Дагестан (с изменениями и дополнениями),</w:t>
      </w:r>
    </w:p>
    <w:p w:rsidR="004D0CA7" w:rsidRPr="00795AEB" w:rsidRDefault="003E581D">
      <w:pPr>
        <w:pStyle w:val="60"/>
        <w:shd w:val="clear" w:color="auto" w:fill="auto"/>
        <w:spacing w:line="254" w:lineRule="auto"/>
        <w:ind w:firstLine="700"/>
        <w:jc w:val="both"/>
        <w:rPr>
          <w:sz w:val="28"/>
          <w:szCs w:val="28"/>
        </w:rPr>
      </w:pPr>
      <w:r w:rsidRPr="00795AEB">
        <w:rPr>
          <w:b/>
          <w:bCs/>
          <w:sz w:val="28"/>
          <w:szCs w:val="28"/>
        </w:rPr>
        <w:t>постановляю:</w:t>
      </w:r>
    </w:p>
    <w:p w:rsidR="004D0CA7" w:rsidRPr="00795AEB" w:rsidRDefault="003E581D">
      <w:pPr>
        <w:pStyle w:val="60"/>
        <w:numPr>
          <w:ilvl w:val="0"/>
          <w:numId w:val="1"/>
        </w:numPr>
        <w:shd w:val="clear" w:color="auto" w:fill="auto"/>
        <w:tabs>
          <w:tab w:val="left" w:pos="942"/>
        </w:tabs>
        <w:spacing w:line="254" w:lineRule="auto"/>
        <w:ind w:firstLine="7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Утвердить основные </w:t>
      </w:r>
      <w:r w:rsidRPr="00795AEB">
        <w:rPr>
          <w:sz w:val="28"/>
          <w:szCs w:val="28"/>
        </w:rPr>
        <w:t>направления бюджетной, налоговой и долговой политики, повышения эффективности расходования бюджетных средств, наращивания налогового потенциала муниципального района «Дербентский район» на 2023 год и на плановый период 2024 и 2025 годов согласно приложению</w:t>
      </w:r>
      <w:r w:rsidRPr="00795AEB">
        <w:rPr>
          <w:sz w:val="28"/>
          <w:szCs w:val="28"/>
        </w:rPr>
        <w:t>.</w:t>
      </w:r>
    </w:p>
    <w:p w:rsidR="004D0CA7" w:rsidRPr="00795AEB" w:rsidRDefault="003E581D">
      <w:pPr>
        <w:pStyle w:val="60"/>
        <w:numPr>
          <w:ilvl w:val="0"/>
          <w:numId w:val="1"/>
        </w:numPr>
        <w:shd w:val="clear" w:color="auto" w:fill="auto"/>
        <w:tabs>
          <w:tab w:val="left" w:pos="939"/>
        </w:tabs>
        <w:spacing w:line="254" w:lineRule="auto"/>
        <w:ind w:firstLine="7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Начальнику финансового управления Администрации муниципального района «Дербентский район» (Заманову Ф.А.) обеспечить составление проекта бюджета Дербентского района с учетом основных направлений бюджетной и налоговой политики Дербентского района на 2023 </w:t>
      </w:r>
      <w:r w:rsidRPr="00795AEB">
        <w:rPr>
          <w:sz w:val="28"/>
          <w:szCs w:val="28"/>
        </w:rPr>
        <w:t>- 2025 годы</w:t>
      </w:r>
    </w:p>
    <w:p w:rsidR="004D0CA7" w:rsidRPr="00795AEB" w:rsidRDefault="003E581D">
      <w:pPr>
        <w:pStyle w:val="60"/>
        <w:numPr>
          <w:ilvl w:val="0"/>
          <w:numId w:val="1"/>
        </w:numPr>
        <w:shd w:val="clear" w:color="auto" w:fill="auto"/>
        <w:tabs>
          <w:tab w:val="left" w:pos="945"/>
        </w:tabs>
        <w:spacing w:after="380" w:line="254" w:lineRule="auto"/>
        <w:ind w:firstLine="7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Рекомендовать главам сельских, городских поселений обеспечить разработку проектов местных бюджетов с учетом требований Бюджетного кодекса РФ, Налогового кодекса РФ, нормативно-правовых актов администрации района и поселения и основных направлен</w:t>
      </w:r>
      <w:r w:rsidRPr="00795AEB">
        <w:rPr>
          <w:sz w:val="28"/>
          <w:szCs w:val="28"/>
        </w:rPr>
        <w:t>ий бюджетной и налоговой политики Дербентского района на 2023 - 2025 годы.</w:t>
      </w:r>
      <w:r w:rsidRPr="00795AEB">
        <w:rPr>
          <w:sz w:val="28"/>
          <w:szCs w:val="28"/>
        </w:rPr>
        <w:br w:type="page"/>
      </w:r>
    </w:p>
    <w:p w:rsidR="004D0CA7" w:rsidRPr="00795AEB" w:rsidRDefault="003E581D">
      <w:pPr>
        <w:pStyle w:val="60"/>
        <w:numPr>
          <w:ilvl w:val="0"/>
          <w:numId w:val="1"/>
        </w:numPr>
        <w:shd w:val="clear" w:color="auto" w:fill="auto"/>
        <w:tabs>
          <w:tab w:val="left" w:pos="942"/>
        </w:tabs>
        <w:spacing w:line="254" w:lineRule="auto"/>
        <w:ind w:firstLine="7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lastRenderedPageBreak/>
        <w:t>Настоящее постановление опубликовать в газете «Дербентские известия» и разместить на официальном сайте администрации муниципального района «Дербентский район» в сети Интернет.</w:t>
      </w:r>
    </w:p>
    <w:p w:rsidR="004D0CA7" w:rsidRPr="00795AEB" w:rsidRDefault="00795AEB">
      <w:pPr>
        <w:pStyle w:val="60"/>
        <w:numPr>
          <w:ilvl w:val="0"/>
          <w:numId w:val="1"/>
        </w:numPr>
        <w:shd w:val="clear" w:color="auto" w:fill="auto"/>
        <w:tabs>
          <w:tab w:val="left" w:pos="952"/>
        </w:tabs>
        <w:spacing w:after="640" w:line="254" w:lineRule="auto"/>
        <w:ind w:firstLine="700"/>
        <w:jc w:val="both"/>
        <w:rPr>
          <w:sz w:val="28"/>
          <w:szCs w:val="28"/>
        </w:rPr>
      </w:pPr>
      <w:r w:rsidRPr="00CB0A68">
        <w:rPr>
          <w:noProof/>
          <w:sz w:val="28"/>
          <w:szCs w:val="28"/>
          <w:lang w:bidi="ar-SA"/>
        </w:rPr>
        <w:drawing>
          <wp:anchor distT="622300" distB="0" distL="0" distR="0" simplePos="0" relativeHeight="251661312" behindDoc="0" locked="0" layoutInCell="1" allowOverlap="1" wp14:anchorId="4B415255" wp14:editId="24006537">
            <wp:simplePos x="0" y="0"/>
            <wp:positionH relativeFrom="page">
              <wp:posOffset>1178560</wp:posOffset>
            </wp:positionH>
            <wp:positionV relativeFrom="paragraph">
              <wp:posOffset>977265</wp:posOffset>
            </wp:positionV>
            <wp:extent cx="3395345" cy="1603375"/>
            <wp:effectExtent l="0" t="0" r="0" b="0"/>
            <wp:wrapNone/>
            <wp:docPr id="5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81D" w:rsidRPr="00795AEB">
        <w:rPr>
          <w:sz w:val="28"/>
          <w:szCs w:val="28"/>
        </w:rPr>
        <w:t>Конт</w:t>
      </w:r>
      <w:r w:rsidR="003E581D" w:rsidRPr="00795AEB">
        <w:rPr>
          <w:sz w:val="28"/>
          <w:szCs w:val="28"/>
        </w:rPr>
        <w:t>роль за исполнением данного постановления возложить на заместителя Главы администрации муниципального района «Дербентский район» Бебетова И.А.</w:t>
      </w:r>
    </w:p>
    <w:p w:rsidR="004D0CA7" w:rsidRPr="00795AEB" w:rsidRDefault="00795AEB">
      <w:pPr>
        <w:pStyle w:val="60"/>
        <w:shd w:val="clear" w:color="auto" w:fill="auto"/>
        <w:spacing w:line="240" w:lineRule="auto"/>
        <w:ind w:left="260" w:hanging="60"/>
        <w:jc w:val="both"/>
        <w:rPr>
          <w:sz w:val="28"/>
          <w:szCs w:val="28"/>
        </w:rPr>
        <w:sectPr w:rsidR="004D0CA7" w:rsidRPr="00795AEB" w:rsidSect="00795AEB">
          <w:footerReference w:type="default" r:id="rId9"/>
          <w:footerReference w:type="first" r:id="rId10"/>
          <w:type w:val="continuous"/>
          <w:pgSz w:w="11906" w:h="16838" w:code="9"/>
          <w:pgMar w:top="1134" w:right="849" w:bottom="1416" w:left="1701" w:header="0" w:footer="3" w:gutter="0"/>
          <w:pgNumType w:start="1"/>
          <w:cols w:space="720"/>
          <w:noEndnote/>
          <w:titlePg/>
          <w:docGrid w:linePitch="360"/>
        </w:sectPr>
      </w:pPr>
      <w:r w:rsidRPr="00795AE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4D1BB2" wp14:editId="4B2C3309">
                <wp:simplePos x="0" y="0"/>
                <wp:positionH relativeFrom="page">
                  <wp:posOffset>5705475</wp:posOffset>
                </wp:positionH>
                <wp:positionV relativeFrom="paragraph">
                  <wp:posOffset>174625</wp:posOffset>
                </wp:positionV>
                <wp:extent cx="1289050" cy="48577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CA7" w:rsidRPr="00795AEB" w:rsidRDefault="003E581D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95A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М.Г.</w:t>
                            </w:r>
                            <w:r w:rsidRPr="00795A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D1BB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49.25pt;margin-top:13.75pt;width:101.5pt;height:38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" filled="f" stroked="f">
                <v:textbox inset="0,0,0,0">
                  <w:txbxContent>
                    <w:p w:rsidR="004D0CA7" w:rsidRPr="00795AEB" w:rsidRDefault="003E581D">
                      <w:pPr>
                        <w:pStyle w:val="60"/>
                        <w:shd w:val="clear" w:color="auto" w:fill="auto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95AEB">
                        <w:rPr>
                          <w:b/>
                          <w:bCs/>
                          <w:sz w:val="28"/>
                          <w:szCs w:val="28"/>
                        </w:rPr>
                        <w:t>М.Г.</w:t>
                      </w:r>
                      <w:r w:rsidRPr="00795A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Default="00795AEB">
      <w:pPr>
        <w:pStyle w:val="70"/>
        <w:shd w:val="clear" w:color="auto" w:fill="auto"/>
        <w:tabs>
          <w:tab w:val="left" w:leader="underscore" w:pos="4765"/>
          <w:tab w:val="left" w:leader="underscore" w:pos="5622"/>
        </w:tabs>
        <w:rPr>
          <w:sz w:val="28"/>
          <w:szCs w:val="28"/>
        </w:rPr>
      </w:pPr>
    </w:p>
    <w:p w:rsidR="00795AEB" w:rsidRPr="00795AEB" w:rsidRDefault="003E581D" w:rsidP="00795AEB">
      <w:pPr>
        <w:pStyle w:val="70"/>
        <w:shd w:val="clear" w:color="auto" w:fill="auto"/>
        <w:spacing w:line="240" w:lineRule="auto"/>
        <w:ind w:left="5670"/>
        <w:jc w:val="both"/>
        <w:rPr>
          <w:sz w:val="24"/>
          <w:szCs w:val="24"/>
        </w:rPr>
      </w:pPr>
      <w:r w:rsidRPr="00795AEB">
        <w:rPr>
          <w:sz w:val="24"/>
          <w:szCs w:val="24"/>
        </w:rPr>
        <w:lastRenderedPageBreak/>
        <w:t>Приложение</w:t>
      </w:r>
    </w:p>
    <w:p w:rsidR="00795AEB" w:rsidRPr="00795AEB" w:rsidRDefault="003E581D" w:rsidP="00795AEB">
      <w:pPr>
        <w:pStyle w:val="70"/>
        <w:shd w:val="clear" w:color="auto" w:fill="auto"/>
        <w:spacing w:line="240" w:lineRule="auto"/>
        <w:ind w:left="5670"/>
        <w:jc w:val="both"/>
        <w:rPr>
          <w:sz w:val="24"/>
          <w:szCs w:val="24"/>
        </w:rPr>
      </w:pPr>
      <w:r w:rsidRPr="00795AEB">
        <w:rPr>
          <w:sz w:val="24"/>
          <w:szCs w:val="24"/>
        </w:rPr>
        <w:t xml:space="preserve"> к постановлению администрации</w:t>
      </w:r>
    </w:p>
    <w:p w:rsidR="00795AEB" w:rsidRPr="00795AEB" w:rsidRDefault="003E581D" w:rsidP="00795AEB">
      <w:pPr>
        <w:pStyle w:val="70"/>
        <w:shd w:val="clear" w:color="auto" w:fill="auto"/>
        <w:spacing w:line="240" w:lineRule="auto"/>
        <w:ind w:left="5670"/>
        <w:jc w:val="both"/>
        <w:rPr>
          <w:sz w:val="24"/>
          <w:szCs w:val="24"/>
        </w:rPr>
      </w:pPr>
      <w:r w:rsidRPr="00795AEB">
        <w:rPr>
          <w:sz w:val="24"/>
          <w:szCs w:val="24"/>
        </w:rPr>
        <w:t xml:space="preserve"> муниципального района «Дербентский район» </w:t>
      </w:r>
    </w:p>
    <w:p w:rsidR="004D0CA7" w:rsidRPr="00795AEB" w:rsidRDefault="003E581D" w:rsidP="00795AEB">
      <w:pPr>
        <w:pStyle w:val="70"/>
        <w:shd w:val="clear" w:color="auto" w:fill="auto"/>
        <w:spacing w:line="240" w:lineRule="auto"/>
        <w:ind w:left="5670"/>
        <w:jc w:val="both"/>
        <w:rPr>
          <w:sz w:val="24"/>
          <w:szCs w:val="24"/>
        </w:rPr>
      </w:pPr>
      <w:r w:rsidRPr="00795AEB">
        <w:rPr>
          <w:sz w:val="24"/>
          <w:szCs w:val="24"/>
        </w:rPr>
        <w:t>от «</w:t>
      </w:r>
      <w:r w:rsidR="00795AEB" w:rsidRPr="00795AEB">
        <w:rPr>
          <w:sz w:val="24"/>
          <w:szCs w:val="24"/>
        </w:rPr>
        <w:t>28</w:t>
      </w:r>
      <w:r w:rsidRPr="00795AEB">
        <w:rPr>
          <w:sz w:val="24"/>
          <w:szCs w:val="24"/>
        </w:rPr>
        <w:t>»</w:t>
      </w:r>
      <w:r w:rsidR="00795AEB" w:rsidRPr="00795AEB">
        <w:rPr>
          <w:sz w:val="24"/>
          <w:szCs w:val="24"/>
        </w:rPr>
        <w:t xml:space="preserve"> октября </w:t>
      </w:r>
      <w:r w:rsidRPr="00795AEB">
        <w:rPr>
          <w:sz w:val="24"/>
          <w:szCs w:val="24"/>
        </w:rPr>
        <w:t>2022 года</w:t>
      </w:r>
      <w:r w:rsidR="00795AEB">
        <w:rPr>
          <w:sz w:val="24"/>
          <w:szCs w:val="24"/>
        </w:rPr>
        <w:t xml:space="preserve"> </w:t>
      </w:r>
      <w:r w:rsidRPr="00795AEB">
        <w:rPr>
          <w:sz w:val="24"/>
          <w:szCs w:val="24"/>
        </w:rPr>
        <w:t>№</w:t>
      </w:r>
      <w:r w:rsidR="00795AEB" w:rsidRPr="00795AEB">
        <w:rPr>
          <w:sz w:val="24"/>
          <w:szCs w:val="24"/>
        </w:rPr>
        <w:t>232</w:t>
      </w:r>
    </w:p>
    <w:p w:rsidR="00795AEB" w:rsidRDefault="00795AEB">
      <w:pPr>
        <w:pStyle w:val="60"/>
        <w:shd w:val="clear" w:color="auto" w:fill="auto"/>
        <w:spacing w:after="240"/>
        <w:ind w:left="620" w:firstLine="460"/>
        <w:jc w:val="both"/>
        <w:rPr>
          <w:b/>
          <w:bCs/>
          <w:sz w:val="28"/>
          <w:szCs w:val="28"/>
        </w:rPr>
      </w:pPr>
    </w:p>
    <w:p w:rsidR="004D0CA7" w:rsidRPr="00795AEB" w:rsidRDefault="003E581D" w:rsidP="00795AEB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95AEB">
        <w:rPr>
          <w:b/>
          <w:bCs/>
          <w:sz w:val="28"/>
          <w:szCs w:val="28"/>
        </w:rPr>
        <w:t>Основные направления бюджетной, налоговой и долговой политики, повышения эффективности расходова</w:t>
      </w:r>
      <w:r w:rsidRPr="00795AEB">
        <w:rPr>
          <w:b/>
          <w:bCs/>
          <w:sz w:val="28"/>
          <w:szCs w:val="28"/>
        </w:rPr>
        <w:t>ния бюджетных средств, наращивания налогового потенциала муниципального района «Дербентский район» на 2023 год и плановый период 2024 и 2025 годов</w:t>
      </w:r>
    </w:p>
    <w:p w:rsidR="00795AEB" w:rsidRDefault="00795AEB">
      <w:pPr>
        <w:pStyle w:val="10"/>
        <w:keepNext/>
        <w:keepLines/>
        <w:shd w:val="clear" w:color="auto" w:fill="auto"/>
        <w:spacing w:after="240" w:line="240" w:lineRule="auto"/>
        <w:rPr>
          <w:sz w:val="28"/>
          <w:szCs w:val="28"/>
        </w:rPr>
      </w:pPr>
      <w:bookmarkStart w:id="0" w:name="bookmark0"/>
      <w:bookmarkStart w:id="1" w:name="bookmark1"/>
    </w:p>
    <w:p w:rsidR="004D0CA7" w:rsidRPr="00795AEB" w:rsidRDefault="003E581D">
      <w:pPr>
        <w:pStyle w:val="10"/>
        <w:keepNext/>
        <w:keepLines/>
        <w:shd w:val="clear" w:color="auto" w:fill="auto"/>
        <w:spacing w:after="240" w:line="240" w:lineRule="auto"/>
        <w:rPr>
          <w:sz w:val="28"/>
          <w:szCs w:val="28"/>
        </w:rPr>
      </w:pPr>
      <w:r w:rsidRPr="00795AEB">
        <w:rPr>
          <w:sz w:val="28"/>
          <w:szCs w:val="28"/>
        </w:rPr>
        <w:t>I. Основные положения</w:t>
      </w:r>
      <w:bookmarkEnd w:id="0"/>
      <w:bookmarkEnd w:id="1"/>
    </w:p>
    <w:p w:rsidR="004D0CA7" w:rsidRPr="00795AEB" w:rsidRDefault="003E581D">
      <w:pPr>
        <w:pStyle w:val="60"/>
        <w:shd w:val="clear" w:color="auto" w:fill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Основные направления бюджетной, налоговой и долговой политики муниципального района «Де</w:t>
      </w:r>
      <w:r w:rsidRPr="00795AEB">
        <w:rPr>
          <w:sz w:val="28"/>
          <w:szCs w:val="28"/>
        </w:rPr>
        <w:t>рбентский район» на 2023 год и плановый период 2024 и 2025 годов определены в соответствии Бюджетным кодексом Российской Федерации, Посланием Президента Российской Федерации Федеральному Собранию, Федеральным законом от 06 октября 2003 года № 131-ФЗ «Об об</w:t>
      </w:r>
      <w:r w:rsidRPr="00795AEB">
        <w:rPr>
          <w:sz w:val="28"/>
          <w:szCs w:val="28"/>
        </w:rPr>
        <w:t>щих принципах организации местного самоуправления в Российской Федерации», Федеральным законом од 28 июня 2014 года № 172- ФЗ «О стратегическом планировании в Российской Федерации», Указами Президента Российской Федерации от 7 мая 2012 года № 596,597 и № 6</w:t>
      </w:r>
      <w:r w:rsidRPr="00795AEB">
        <w:rPr>
          <w:sz w:val="28"/>
          <w:szCs w:val="28"/>
        </w:rPr>
        <w:t>01,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утвержденной постановлением Правительства Российской Федерации от 18 мая 2016 года № 44</w:t>
      </w:r>
      <w:r w:rsidRPr="00795AEB">
        <w:rPr>
          <w:sz w:val="28"/>
          <w:szCs w:val="28"/>
        </w:rPr>
        <w:t>5, Основными направлениями бюджетной и налоговой политики Российской Федерации на очередной финансовый год и на плановый период, постановлением Правительства Республики Дагестан от 11 августа 2015 года № 236 «О формировании бюджетного прогноза Республики Д</w:t>
      </w:r>
      <w:r w:rsidRPr="00795AEB">
        <w:rPr>
          <w:sz w:val="28"/>
          <w:szCs w:val="28"/>
        </w:rPr>
        <w:t xml:space="preserve">агестан на долгосрочный период», Положением о бюджетном процессе в муниципальном районе «Дербентский район» Республики Дагестан, утвержденным решением Собрания депутатов муниципального района «Дербентский район» Республики Дагестан от 28 декабря 2011 года </w:t>
      </w:r>
      <w:r w:rsidRPr="00795AEB">
        <w:rPr>
          <w:sz w:val="28"/>
          <w:szCs w:val="28"/>
        </w:rPr>
        <w:t>№ 13/7, также с учетом прогноза социально-экономического развития муниципального района «Дербентский район» на 2023-2025 годы.</w:t>
      </w:r>
    </w:p>
    <w:p w:rsidR="004D0CA7" w:rsidRPr="00795AEB" w:rsidRDefault="003E581D">
      <w:pPr>
        <w:pStyle w:val="60"/>
        <w:shd w:val="clear" w:color="auto" w:fill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В муниципальном районе «Дербентский район» определены следующие приоритеты политики в сфере управления муниципальными финансами:</w:t>
      </w:r>
    </w:p>
    <w:p w:rsidR="004D0CA7" w:rsidRPr="00795AEB" w:rsidRDefault="003E581D">
      <w:pPr>
        <w:pStyle w:val="60"/>
        <w:shd w:val="clear" w:color="auto" w:fill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- создание условий для устойчивого исполнения бюджета района и бюджетов поселений, в том числе для повышения бюджетной обеспеченности района и поселений;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00"/>
        <w:jc w:val="both"/>
        <w:rPr>
          <w:sz w:val="28"/>
          <w:szCs w:val="28"/>
        </w:rPr>
        <w:sectPr w:rsidR="004D0CA7" w:rsidRPr="00795AEB" w:rsidSect="00795AEB">
          <w:footerReference w:type="default" r:id="rId11"/>
          <w:type w:val="continuous"/>
          <w:pgSz w:w="11906" w:h="16838" w:code="9"/>
          <w:pgMar w:top="1134" w:right="849" w:bottom="1010" w:left="1701" w:header="461" w:footer="3" w:gutter="0"/>
          <w:pgNumType w:start="1"/>
          <w:cols w:space="720"/>
          <w:noEndnote/>
          <w:docGrid w:linePitch="360"/>
        </w:sectPr>
      </w:pPr>
      <w:r w:rsidRPr="00795AEB">
        <w:rPr>
          <w:sz w:val="28"/>
          <w:szCs w:val="28"/>
        </w:rPr>
        <w:lastRenderedPageBreak/>
        <w:t>внедрение проектных принципов управления;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lastRenderedPageBreak/>
        <w:t>со</w:t>
      </w:r>
      <w:r w:rsidRPr="00795AEB">
        <w:rPr>
          <w:sz w:val="28"/>
          <w:szCs w:val="28"/>
        </w:rPr>
        <w:t>вершенствование программно-целевого метода планирования расходов бюджета района и бюджетов поселений с целью повышения эффективности расходов и их увязка с программными целями и задачами;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создание условий для равных финансовых возможностей оказания граждан</w:t>
      </w:r>
      <w:r w:rsidRPr="00795AEB">
        <w:rPr>
          <w:sz w:val="28"/>
          <w:szCs w:val="28"/>
        </w:rPr>
        <w:t>ам муниципальных услуг на всей территории района;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повышение качества управления муниципальными финансами в общественном секторе;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проведение мониторинга качества управления муниципальными финансами;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00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эффективное регулирование муниципального долга.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Основные н</w:t>
      </w:r>
      <w:r w:rsidRPr="00795AEB">
        <w:rPr>
          <w:sz w:val="28"/>
          <w:szCs w:val="28"/>
        </w:rPr>
        <w:t>аправления бюджетной, налоговой и долговой политики являются основой для составления проекта бюджета муниципального района «Дербентский район» и бюджетов поселений на 2023 год и плановый период 2024 и 2025 годов, а также для повышения качества бюджетного п</w:t>
      </w:r>
      <w:r w:rsidRPr="00795AEB">
        <w:rPr>
          <w:sz w:val="28"/>
          <w:szCs w:val="28"/>
        </w:rPr>
        <w:t>роцесса, обеспечения рационального, эффективного и результативного расходования бюджетных средств. Долговая политика в муниципальном районе «Дербентский район» Республики Дагестан в 2023 - 2025 годах, как и ранее, будет исходить из целей сбалансированности</w:t>
      </w:r>
      <w:r w:rsidRPr="00795AEB">
        <w:rPr>
          <w:sz w:val="28"/>
          <w:szCs w:val="28"/>
        </w:rPr>
        <w:t xml:space="preserve"> бюджета муниципального района «Дербентский район» и бюджетов* поселений. Проведение предсказуемой и ответственной бюджетной политики, обеспечение долгосрочной сбалансированности и устойчивости бюджетной системы муниципального района «Дербентский район» Ре</w:t>
      </w:r>
      <w:r w:rsidRPr="00795AEB">
        <w:rPr>
          <w:sz w:val="28"/>
          <w:szCs w:val="28"/>
        </w:rPr>
        <w:t>спублики Дагестан обеспечат экономическую стабильность и необходимые условия для повышения эффективности деятельности органов местного самоуправления в районе по обеспечению потребностей граждан и общества в муниципальных услугах на территории муниципально</w:t>
      </w:r>
      <w:r w:rsidRPr="00795AEB">
        <w:rPr>
          <w:sz w:val="28"/>
          <w:szCs w:val="28"/>
        </w:rPr>
        <w:t>го района «Дербентский район» Республики Дагестан, увеличению их доступности и качества.</w:t>
      </w:r>
    </w:p>
    <w:p w:rsidR="004D0CA7" w:rsidRPr="00795AEB" w:rsidRDefault="003E581D" w:rsidP="00795AE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960" w:hanging="320"/>
        <w:jc w:val="both"/>
        <w:rPr>
          <w:sz w:val="28"/>
          <w:szCs w:val="28"/>
        </w:rPr>
      </w:pPr>
      <w:bookmarkStart w:id="2" w:name="bookmark2"/>
      <w:bookmarkStart w:id="3" w:name="bookmark3"/>
      <w:r w:rsidRPr="00795AEB">
        <w:rPr>
          <w:sz w:val="28"/>
          <w:szCs w:val="28"/>
        </w:rPr>
        <w:t>Основные итоги бюджетной, налоговой и долговой политики муниципального района «Дербентский район» в 2020 году</w:t>
      </w:r>
      <w:bookmarkEnd w:id="2"/>
      <w:bookmarkEnd w:id="3"/>
    </w:p>
    <w:p w:rsidR="004D0CA7" w:rsidRPr="00795AEB" w:rsidRDefault="003E581D" w:rsidP="00795AEB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В консолидированный бюджет муниципального района </w:t>
      </w:r>
      <w:r w:rsidRPr="00795AEB">
        <w:rPr>
          <w:sz w:val="28"/>
          <w:szCs w:val="28"/>
        </w:rPr>
        <w:t>«Дербентский район» в 2021 году поступило доходов в сумме 1 763,0 млн. руб.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Из общей суммы поступлений налоговые и неналоговые доходы составили 325,4 млн. руб.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Объем консолидированного бюджета муниципального района по доходам за последние три года увеличил</w:t>
      </w:r>
      <w:r w:rsidRPr="00795AEB">
        <w:rPr>
          <w:sz w:val="28"/>
          <w:szCs w:val="28"/>
        </w:rPr>
        <w:t>ся в 1,08 раза: с 1631,6 млн. руб., в 2019 году до 1 763,0 млн. руб., в 2021 году.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Расходы консолидированного бюджета муниципального района «Дербентский район» в 2021 году составили 1 963,6 млн. руб., при годовом</w:t>
      </w:r>
    </w:p>
    <w:p w:rsidR="004D0CA7" w:rsidRPr="00795AEB" w:rsidRDefault="003E581D" w:rsidP="00795AEB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плане 2 083,8 млн. руб., план исполнен на</w:t>
      </w:r>
      <w:r w:rsidRPr="00795AEB">
        <w:rPr>
          <w:sz w:val="28"/>
          <w:szCs w:val="28"/>
        </w:rPr>
        <w:t xml:space="preserve"> 94,2 процента.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Бюджет района по расходам исполнен в сумме 1 845,1 млн. руб. или на 96,0 процента от годового плана 2 008,5 млн. руб., бюджеты поселений - в сумме 118, млн. руб., или на 73,5 процента от годового плана 161,4 млн. руб.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Бюджет муниципального </w:t>
      </w:r>
      <w:r w:rsidRPr="00795AEB">
        <w:rPr>
          <w:sz w:val="28"/>
          <w:szCs w:val="28"/>
        </w:rPr>
        <w:t xml:space="preserve">района «Дербентский район» и бюджеты поселений </w:t>
      </w:r>
      <w:r w:rsidRPr="00795AEB">
        <w:rPr>
          <w:sz w:val="28"/>
          <w:szCs w:val="28"/>
        </w:rPr>
        <w:lastRenderedPageBreak/>
        <w:t>района по расходам в 2021 году сформированы и исполнены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</w:t>
      </w:r>
      <w:r w:rsidRPr="00795AEB">
        <w:rPr>
          <w:sz w:val="28"/>
          <w:szCs w:val="28"/>
        </w:rPr>
        <w:t>й, характеризующих достижение целей и решение задач, утвержденных в муниципальных программах.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Формирование бюджета района и бюджетов поселений на основе муниципальных программ позволяет гарантированно обеспечить финансовыми ресурсами действующие расходные </w:t>
      </w:r>
      <w:r w:rsidRPr="00795AEB">
        <w:rPr>
          <w:sz w:val="28"/>
          <w:szCs w:val="28"/>
        </w:rPr>
        <w:t>обязательства, прозрачно и конкурентно распределять имеющиеся средства.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Расходы консолидированного бюджета района в 2021 году по сравнению с 2020 годом увеличились на 417,3 млн. руб., или на 27,0 процента.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Консолидированный бюджет района в 2021 году, как и</w:t>
      </w:r>
      <w:r w:rsidRPr="00795AEB">
        <w:rPr>
          <w:sz w:val="28"/>
          <w:szCs w:val="28"/>
        </w:rPr>
        <w:t xml:space="preserve"> в предыдущие годы, имеет ярко выраженную социальную направленность - 92,3 процентов от общей суммы расходов составляют расходы на социальную сферу, ЖКХ и национальную экономику, в том числе расходы на образование 71,5 процента от общей суммы расходов конс</w:t>
      </w:r>
      <w:r w:rsidRPr="00795AEB">
        <w:rPr>
          <w:sz w:val="28"/>
          <w:szCs w:val="28"/>
        </w:rPr>
        <w:t>олидированного бюджета. Вторыми по значимости в консолидированном бюджете района являются расходы на культуру 4,8 процента, расходы на ЖКХ составляют 3,7 процента. Расходы на физкультуру и спорт - 0,1 процента. Расходы на строительство, ремонт и содержание</w:t>
      </w:r>
      <w:r w:rsidRPr="00795AEB">
        <w:rPr>
          <w:sz w:val="28"/>
          <w:szCs w:val="28"/>
        </w:rPr>
        <w:t xml:space="preserve"> дорог составляют 3,8 процента.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Структура расходов бюджета района и бюджетов поселений зависит от полномочий, закрепленных Федеральным законом №131-Ф3, и переданных полномочий. Рост объема внутренних расчетов между районом и поселениями с одной стороны рез</w:t>
      </w:r>
      <w:r w:rsidRPr="00795AEB">
        <w:rPr>
          <w:sz w:val="28"/>
          <w:szCs w:val="28"/>
        </w:rPr>
        <w:t>ультат централизации на уровень района таких полномочий, как создание условий для организации досуга и обеспечение жителей поселения услугами организаций культуры, с другой стороны участие поселений в реализации муниципальных программ района.</w:t>
      </w:r>
    </w:p>
    <w:p w:rsidR="004D0CA7" w:rsidRPr="00795AEB" w:rsidRDefault="003E581D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В 2021 году б</w:t>
      </w:r>
      <w:r w:rsidRPr="00795AEB">
        <w:rPr>
          <w:sz w:val="28"/>
          <w:szCs w:val="28"/>
        </w:rPr>
        <w:t>юджет муниципального района «Дербентский район» был сбалансирован без привлечения заемных средств. Бюджеты поселений сформированы и исполнены без привлечения заемных средств, расходная часть бюджетов поселений обеспечена доходными источниками и остатками с</w:t>
      </w:r>
      <w:r w:rsidRPr="00795AEB">
        <w:rPr>
          <w:sz w:val="28"/>
          <w:szCs w:val="28"/>
        </w:rPr>
        <w:t>редств на счетах бюджетов поселений по состоянию на начало финансового года.</w:t>
      </w:r>
    </w:p>
    <w:p w:rsidR="004D0CA7" w:rsidRPr="00795AEB" w:rsidRDefault="003E581D" w:rsidP="00795AEB">
      <w:pPr>
        <w:pStyle w:val="60"/>
        <w:shd w:val="clear" w:color="auto" w:fill="auto"/>
        <w:spacing w:line="271" w:lineRule="auto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С 01 января 2019 года в соответствии с частью 5 статьи 99 Федерального закона №44-ФЗ «О контрактной системе в сфере закупок товаров, работ, услуг для </w:t>
      </w:r>
      <w:r w:rsidRPr="00795AEB">
        <w:rPr>
          <w:sz w:val="28"/>
          <w:szCs w:val="28"/>
        </w:rPr>
        <w:t>обеспечения государственных и муниципальных нужд» финансовые органы осуществляют контроль за соответствием информации об объеме 3</w:t>
      </w:r>
      <w:r w:rsidR="00795AEB">
        <w:rPr>
          <w:sz w:val="28"/>
          <w:szCs w:val="28"/>
        </w:rPr>
        <w:t xml:space="preserve"> </w:t>
      </w:r>
      <w:r w:rsidRPr="00795AEB">
        <w:rPr>
          <w:sz w:val="28"/>
          <w:szCs w:val="28"/>
        </w:rPr>
        <w:t>финансового обеспечения, включенной в планы закупок, планы-графики закупок и конкурсную документацию, объему лимитов бюджетных</w:t>
      </w:r>
      <w:r w:rsidRPr="00795AEB">
        <w:rPr>
          <w:sz w:val="28"/>
          <w:szCs w:val="28"/>
        </w:rPr>
        <w:t xml:space="preserve"> обязательств для осуществления закупок, утвержденному и доведенному до заказчика. Это позволяет повысить качество планирования расходов на </w:t>
      </w:r>
      <w:r w:rsidRPr="00795AEB">
        <w:rPr>
          <w:sz w:val="28"/>
          <w:szCs w:val="28"/>
        </w:rPr>
        <w:lastRenderedPageBreak/>
        <w:t>закупки.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Формирование и исполнение бюджета района и бюджетов поселений, совершенствование бюджетного процесса в муни</w:t>
      </w:r>
      <w:r w:rsidRPr="00795AEB">
        <w:rPr>
          <w:sz w:val="28"/>
          <w:szCs w:val="28"/>
        </w:rPr>
        <w:t>ципальном районе «Дербентский район» проведено в рамках требований Бюджетного кодекса Российской Федерации.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Принятие решений о бюджете района и бюджетах поселений на 2022 год и плановый период 2023 и 2024 годов осуществлено до начала финансового года.</w:t>
      </w:r>
    </w:p>
    <w:p w:rsidR="004D0CA7" w:rsidRPr="00795AEB" w:rsidRDefault="003E581D" w:rsidP="00795AEB">
      <w:pPr>
        <w:pStyle w:val="60"/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Касс</w:t>
      </w:r>
      <w:r w:rsidRPr="00795AEB">
        <w:rPr>
          <w:sz w:val="28"/>
          <w:szCs w:val="28"/>
        </w:rPr>
        <w:t>овое обслуживание единого счета бюджета района и бюджетов поселений осуществляется в Управлении федерального казначейства по Республике Дагестан.</w:t>
      </w:r>
    </w:p>
    <w:p w:rsidR="004D0CA7" w:rsidRPr="00795AEB" w:rsidRDefault="003E581D" w:rsidP="00795AE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firstLine="567"/>
        <w:jc w:val="both"/>
        <w:rPr>
          <w:sz w:val="28"/>
          <w:szCs w:val="28"/>
        </w:rPr>
      </w:pPr>
      <w:bookmarkStart w:id="4" w:name="bookmark4"/>
      <w:bookmarkStart w:id="5" w:name="bookmark5"/>
      <w:r w:rsidRPr="00795AEB">
        <w:rPr>
          <w:sz w:val="28"/>
          <w:szCs w:val="28"/>
        </w:rPr>
        <w:t>Основные направления налоговой политики на 2022 год и плановый период 2023 и 2024 годов</w:t>
      </w:r>
      <w:bookmarkEnd w:id="4"/>
      <w:bookmarkEnd w:id="5"/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Приоритеты налоговой п</w:t>
      </w:r>
      <w:r w:rsidRPr="00795AEB">
        <w:rPr>
          <w:sz w:val="28"/>
          <w:szCs w:val="28"/>
        </w:rPr>
        <w:t>олитики муниципального района «Дербентский район» Респ</w:t>
      </w:r>
      <w:r w:rsidR="00795AEB">
        <w:rPr>
          <w:sz w:val="28"/>
          <w:szCs w:val="28"/>
        </w:rPr>
        <w:t xml:space="preserve">ублики Дагестан направлены на: 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- создание эффективной и стабильной налоговой системы, поддержание сбалансированности и устойчивости бюджета муниципального района «Дербентский район» Республики Дагеста</w:t>
      </w:r>
      <w:r w:rsidRPr="00795AEB">
        <w:rPr>
          <w:sz w:val="28"/>
          <w:szCs w:val="28"/>
        </w:rPr>
        <w:t>н, а также бюджетов городских и сельских поселений муниципального района «Дербентский район»;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bookmarkStart w:id="6" w:name="_GoBack"/>
      <w:bookmarkEnd w:id="6"/>
      <w:r w:rsidRPr="00795AEB">
        <w:rPr>
          <w:sz w:val="28"/>
          <w:szCs w:val="28"/>
        </w:rPr>
        <w:t>доведение налоговой нагрузки до уровня среднего по Республике Дагестан;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улучшение инвестиционного климата и поддержку инновационного предпринимательства в </w:t>
      </w:r>
      <w:r w:rsidRPr="00795AEB">
        <w:rPr>
          <w:sz w:val="28"/>
          <w:szCs w:val="28"/>
        </w:rPr>
        <w:t>муниципальном районе «Дербентский район» Республики Дагестан, налоговое стимулирование инвестиционной деятельности;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совершенствование налогового администрирования, взаимодействие и совместную работу с администраторами доходов;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оптимизацию существующей сист</w:t>
      </w:r>
      <w:r w:rsidRPr="00795AEB">
        <w:rPr>
          <w:sz w:val="28"/>
          <w:szCs w:val="28"/>
        </w:rPr>
        <w:t>емы налоговых льгот, мониторинг эффективности налоговых льгот;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сокращение недоимки по налогам в бюджет района и бюджеты поселений;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повышение эффективности использования муниципальной собственности;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максимальное задействование имеющихся резервов взыскания н</w:t>
      </w:r>
      <w:r w:rsidRPr="00795AEB">
        <w:rPr>
          <w:sz w:val="28"/>
          <w:szCs w:val="28"/>
        </w:rPr>
        <w:t>алогов и сборов;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проведение детальной инвентаризации и актуализации налоговой базы как по имущественным налогам, так и по налогам с доходов и с оборота;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постановка на учет физических и юридических лиц, осуществляющих предпринимательскую деятельность без </w:t>
      </w:r>
      <w:r w:rsidRPr="00795AEB">
        <w:rPr>
          <w:sz w:val="28"/>
          <w:szCs w:val="28"/>
        </w:rPr>
        <w:t>соответствующей регистрации;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выявление и пресечение использования налогоплательщиками схем минимизации налогообложения в виде «дробления» бизнеса, использования «трансфертного» ценообразования, бартерных и наличных операций, выплаты неучтенной («теневой») </w:t>
      </w:r>
      <w:r w:rsidRPr="00795AEB">
        <w:rPr>
          <w:sz w:val="28"/>
          <w:szCs w:val="28"/>
        </w:rPr>
        <w:t>заработной платы;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увеличение налоговой отдачи и эффективности от вкладываемых из </w:t>
      </w:r>
      <w:r w:rsidRPr="00795AEB">
        <w:rPr>
          <w:sz w:val="28"/>
          <w:szCs w:val="28"/>
        </w:rPr>
        <w:lastRenderedPageBreak/>
        <w:t>бюджета средств;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усиление воздействия на конечных получателей бюджетных средств инвестиционного либо инновационного характера (подрядчиков и субподрядчиков) в плане увеличения</w:t>
      </w:r>
      <w:r w:rsidRPr="00795AEB">
        <w:rPr>
          <w:sz w:val="28"/>
          <w:szCs w:val="28"/>
        </w:rPr>
        <w:t xml:space="preserve"> отдачи путем выстраивания механизма вертикальных связей;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активизация работы отделов и управлений администрации муниципального района «Дербентский район» в части мониторинга и анализа налоговой базы подведомственных учреждений, организаций и предприятий;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и</w:t>
      </w:r>
      <w:r w:rsidRPr="00795AEB">
        <w:rPr>
          <w:sz w:val="28"/>
          <w:szCs w:val="28"/>
        </w:rPr>
        <w:t>спользование преимуществ Дербентского района в сфере «импортозамещения» сельхозпродукции Аграрно-промышленного комплекса, спрос на которую существенно вырос в связи с необходимостью преодоления последствий экономических санкций;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увеличение потенциала за сч</w:t>
      </w:r>
      <w:r w:rsidR="00795AEB">
        <w:rPr>
          <w:sz w:val="28"/>
          <w:szCs w:val="28"/>
        </w:rPr>
        <w:t>ет генерации внов</w:t>
      </w:r>
      <w:r w:rsidRPr="00795AEB">
        <w:rPr>
          <w:sz w:val="28"/>
          <w:szCs w:val="28"/>
        </w:rPr>
        <w:t>ь созданных производств, поддержки предпринимательской инициативы;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поиск новых способов и возможностей по привлечению в район инвесторов, способных реализовать значимые приоритетные проекты, за счет предоставления им муниципальных гарантий</w:t>
      </w:r>
      <w:r w:rsidRPr="00795AEB">
        <w:rPr>
          <w:sz w:val="28"/>
          <w:szCs w:val="28"/>
        </w:rPr>
        <w:t>, налоговых, арендных и иных преференций;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стимулирование развития малого предпринимательства, в частности за счет предоставления для впервые зарегистрированных индивидуальных предпринимателей «налоговых каникул», обеспечения доступа к кредитным ресурсам, с</w:t>
      </w:r>
      <w:r w:rsidRPr="00795AEB">
        <w:rPr>
          <w:sz w:val="28"/>
          <w:szCs w:val="28"/>
        </w:rPr>
        <w:t>убсидирования процентной ставки по кредитам и прямого предоставления средств государственной (муниципальной) поддержки, расширения бизнес-инкубаторов и технопарков;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активизация финансово-хозяйственной деятельности муниципальных бюджетных учреждений в части</w:t>
      </w:r>
      <w:r w:rsidRPr="00795AEB">
        <w:rPr>
          <w:sz w:val="28"/>
          <w:szCs w:val="28"/>
        </w:rPr>
        <w:t xml:space="preserve"> увеличения объема предоставляемых платных услуг;</w:t>
      </w:r>
    </w:p>
    <w:p w:rsidR="004D0CA7" w:rsidRPr="00795AEB" w:rsidRDefault="003E581D" w:rsidP="00795AEB">
      <w:pPr>
        <w:pStyle w:val="60"/>
        <w:shd w:val="clear" w:color="auto" w:fill="auto"/>
        <w:spacing w:after="220"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поиск новых источников пополнения бюджета муниципального района «Дербентский район» Республики Дагестан, а также бюджетов городских и сельских поселений муниципального района «Дербентский район» Республики </w:t>
      </w:r>
      <w:r w:rsidRPr="00795AEB">
        <w:rPr>
          <w:sz w:val="28"/>
          <w:szCs w:val="28"/>
        </w:rPr>
        <w:t>Дагестан.</w:t>
      </w:r>
    </w:p>
    <w:p w:rsidR="004D0CA7" w:rsidRPr="00795AEB" w:rsidRDefault="003E581D" w:rsidP="00795AE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56"/>
        </w:tabs>
        <w:spacing w:after="160" w:line="240" w:lineRule="auto"/>
        <w:ind w:firstLine="567"/>
        <w:jc w:val="both"/>
        <w:rPr>
          <w:sz w:val="28"/>
          <w:szCs w:val="28"/>
        </w:rPr>
      </w:pPr>
      <w:bookmarkStart w:id="7" w:name="bookmark6"/>
      <w:bookmarkStart w:id="8" w:name="bookmark7"/>
      <w:r w:rsidRPr="00795AEB">
        <w:rPr>
          <w:sz w:val="28"/>
          <w:szCs w:val="28"/>
        </w:rPr>
        <w:t>Основные направления бюджетной политики на 2023</w:t>
      </w:r>
      <w:r w:rsidRPr="00795AEB">
        <w:rPr>
          <w:sz w:val="28"/>
          <w:szCs w:val="28"/>
        </w:rPr>
        <w:br/>
        <w:t>год и на плановый период 2024 и 2025 годов</w:t>
      </w:r>
      <w:bookmarkEnd w:id="7"/>
      <w:bookmarkEnd w:id="8"/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В ближайшее время на первый план выходит решение задач повышения эффективности расходов и переориентации бюджетных ассигнований в рамках существующих бюдже</w:t>
      </w:r>
      <w:r w:rsidRPr="00795AEB">
        <w:rPr>
          <w:sz w:val="28"/>
          <w:szCs w:val="28"/>
        </w:rPr>
        <w:t xml:space="preserve">тных ограничений на реализацию приоритетных направлений социально-экономической политики муниципального района «Дербентский район», достижение измеримых общественно значимых результатов, наиболее важные из которых установлены Указами Президента Российской </w:t>
      </w:r>
      <w:r w:rsidRPr="00795AEB">
        <w:rPr>
          <w:sz w:val="28"/>
          <w:szCs w:val="28"/>
        </w:rPr>
        <w:t>Федерации от 7 мая 2012 года.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При формировании бюджета муниципального района «Дербентский район» и бюджетов поселений необходимо обеспечить финансированием действующие расходные обязательства. Первоочередной мерой обеспечения долгосрочной устойчивости </w:t>
      </w:r>
      <w:r w:rsidRPr="00795AEB">
        <w:rPr>
          <w:sz w:val="28"/>
          <w:szCs w:val="28"/>
        </w:rPr>
        <w:t xml:space="preserve">бюджетной системы и противодействия бюджетным рискам должно выступать применение механизма ограничения </w:t>
      </w:r>
      <w:r w:rsidRPr="00795AEB">
        <w:rPr>
          <w:sz w:val="28"/>
          <w:szCs w:val="28"/>
        </w:rPr>
        <w:lastRenderedPageBreak/>
        <w:t>роста расходов бюджета при безусловной реализации принятых решений (действующих обязательств), в первую очередь социального характера.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Бюджетная политика</w:t>
      </w:r>
      <w:r w:rsidRPr="00795AEB">
        <w:rPr>
          <w:sz w:val="28"/>
          <w:szCs w:val="28"/>
        </w:rPr>
        <w:t xml:space="preserve"> на 2023 год и плановый период 2024 и 2025 годов в части расходов бюджета района и бюджетов поселений должна отвечать принципам эффективного бюджетного планирования и направлена на дальнейшее повышение эффективности расходов бюджета. Ключевыми требованиями</w:t>
      </w:r>
      <w:r w:rsidRPr="00795AEB">
        <w:rPr>
          <w:sz w:val="28"/>
          <w:szCs w:val="28"/>
        </w:rPr>
        <w:t xml:space="preserve"> к расходной части бюджета района и бюджетов поселений должны стать бережливость и максимальная отдача.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определение четких приоритетов использования бюджетных средств с учетом текущей </w:t>
      </w:r>
      <w:r w:rsidRPr="00795AEB">
        <w:rPr>
          <w:sz w:val="28"/>
          <w:szCs w:val="28"/>
        </w:rPr>
        <w:t>экономической ситуации при планировании бюджетных ассигнований на 2023 год и плановый период 2024 и 2025 годов следует детально оценить содержание муниципальных программ района, соразмерив объемы их финансового обеспечения с реальными возможностями районно</w:t>
      </w:r>
      <w:r w:rsidRPr="00795AEB">
        <w:rPr>
          <w:sz w:val="28"/>
          <w:szCs w:val="28"/>
        </w:rPr>
        <w:t>го бюджета;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</w:t>
      </w:r>
      <w:r w:rsidRPr="00795AEB">
        <w:rPr>
          <w:sz w:val="28"/>
          <w:szCs w:val="28"/>
        </w:rPr>
        <w:t>направлениям;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бережливость и максимальная отдача, снижение неэффективных трат бюджета ра</w:t>
      </w:r>
      <w:r w:rsidRPr="00795AEB">
        <w:rPr>
          <w:sz w:val="28"/>
          <w:szCs w:val="28"/>
        </w:rPr>
        <w:t xml:space="preserve">йона и бюджетов поселений, обеспечение исполнения гарантированных расходных обязательств района,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</w:t>
      </w:r>
      <w:r w:rsidRPr="00795AEB">
        <w:rPr>
          <w:sz w:val="28"/>
          <w:szCs w:val="28"/>
        </w:rPr>
        <w:t>района и бюджетов поселений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принятие решений, направленных на достижение в полном объеме ур</w:t>
      </w:r>
      <w:r w:rsidRPr="00795AEB">
        <w:rPr>
          <w:sz w:val="28"/>
          <w:szCs w:val="28"/>
        </w:rPr>
        <w:t>овня оплаты труда работников муниципальных учреждений социальной сферы в соответствии с Указом Президента Российской Федерации от 7 мая 2012 года № 597 «О мероприятиях по реализации государственной социальной политики;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повышение эффективности функционирова</w:t>
      </w:r>
      <w:r w:rsidRPr="00795AEB">
        <w:rPr>
          <w:sz w:val="28"/>
          <w:szCs w:val="28"/>
        </w:rPr>
        <w:t>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</w:t>
      </w:r>
      <w:r w:rsidRPr="00795AEB">
        <w:rPr>
          <w:sz w:val="28"/>
          <w:szCs w:val="28"/>
        </w:rPr>
        <w:t>онтрактов, соотнесение фактических расходов и нормативных затрат, то есть осуществление норм контроля;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увязка муниципальных заданий на оказание муниципальных услуг с целями муниципальных программ;</w:t>
      </w:r>
    </w:p>
    <w:p w:rsidR="004D0CA7" w:rsidRPr="00795AEB" w:rsidRDefault="003E581D" w:rsidP="00795AEB">
      <w:pPr>
        <w:pStyle w:val="60"/>
        <w:shd w:val="clear" w:color="auto" w:fill="auto"/>
        <w:tabs>
          <w:tab w:val="left" w:pos="4205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lastRenderedPageBreak/>
        <w:t>повышение ответственности муниципальных учреждений за невып</w:t>
      </w:r>
      <w:r w:rsidRPr="00795AEB">
        <w:rPr>
          <w:sz w:val="28"/>
          <w:szCs w:val="28"/>
        </w:rPr>
        <w:t>олнение муниципальных заданий, в том числе установление требований об обязательном возврате средств субсидии в бюджет района или соответствующего поселения в случае недостижения объемных показателей, установл</w:t>
      </w:r>
      <w:r w:rsidR="00795AEB">
        <w:rPr>
          <w:sz w:val="28"/>
          <w:szCs w:val="28"/>
        </w:rPr>
        <w:t>енных в муниципальном задании;</w:t>
      </w:r>
      <w:r w:rsidR="00795AEB">
        <w:rPr>
          <w:sz w:val="28"/>
          <w:szCs w:val="28"/>
        </w:rPr>
        <w:tab/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обеспечение вып</w:t>
      </w:r>
      <w:r w:rsidRPr="00795AEB">
        <w:rPr>
          <w:sz w:val="28"/>
          <w:szCs w:val="28"/>
        </w:rPr>
        <w:t>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унифик</w:t>
      </w:r>
      <w:r w:rsidRPr="00795AEB">
        <w:rPr>
          <w:sz w:val="28"/>
          <w:szCs w:val="28"/>
        </w:rPr>
        <w:t>ация соглашений о предоставлении субсидий из бюджета района и бюджетов поселений юридическим и физическим лицам в целях возмещения недополученных доходов или финансового обеспечения затрат, связанных с производством товаров, выполнением работ, оказанием ус</w:t>
      </w:r>
      <w:r w:rsidRPr="00795AEB">
        <w:rPr>
          <w:sz w:val="28"/>
          <w:szCs w:val="28"/>
        </w:rPr>
        <w:t>луг путем применения типовой формы, утвержденной в соответствии с общими требованиями к нормативным правовым актам, регулирующим предоставление субсидий юридическим лицам, индивидуальным предпринимателям и физическим лицам.</w:t>
      </w:r>
    </w:p>
    <w:p w:rsidR="004D0CA7" w:rsidRPr="00795AEB" w:rsidRDefault="003E581D" w:rsidP="00795AEB">
      <w:pPr>
        <w:pStyle w:val="60"/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В условиях формирования </w:t>
      </w:r>
      <w:r w:rsidRPr="00795AEB">
        <w:rPr>
          <w:sz w:val="28"/>
          <w:szCs w:val="28"/>
        </w:rPr>
        <w:t>программного бюджета изменяется роль муниципального финансового контроля. Проводимые проверки направлены на осуществление контроля за результатами, которые достигнуты при расходовании бюджетных средств.</w:t>
      </w:r>
    </w:p>
    <w:p w:rsidR="004D0CA7" w:rsidRPr="00795AEB" w:rsidRDefault="003E581D" w:rsidP="00795AE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22"/>
        </w:tabs>
        <w:spacing w:line="240" w:lineRule="auto"/>
        <w:ind w:firstLine="567"/>
        <w:jc w:val="both"/>
        <w:rPr>
          <w:sz w:val="28"/>
          <w:szCs w:val="28"/>
        </w:rPr>
      </w:pPr>
      <w:bookmarkStart w:id="9" w:name="bookmark8"/>
      <w:bookmarkStart w:id="10" w:name="bookmark9"/>
      <w:r w:rsidRPr="00795AEB">
        <w:rPr>
          <w:sz w:val="28"/>
          <w:szCs w:val="28"/>
        </w:rPr>
        <w:t xml:space="preserve">Основные направления долговой политики на 2023 год и </w:t>
      </w:r>
      <w:r w:rsidRPr="00795AEB">
        <w:rPr>
          <w:sz w:val="28"/>
          <w:szCs w:val="28"/>
        </w:rPr>
        <w:t>на</w:t>
      </w:r>
      <w:r w:rsidRPr="00795AEB">
        <w:rPr>
          <w:sz w:val="28"/>
          <w:szCs w:val="28"/>
        </w:rPr>
        <w:br/>
        <w:t>плановый период 2024 и 2025 годов</w:t>
      </w:r>
      <w:bookmarkEnd w:id="9"/>
      <w:bookmarkEnd w:id="10"/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Основными направлениями долговой политики муниципального района «Дербентский район» являются: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поддержание величины муниципального долга муниципального района «Дербентский район» на экономически безопасном уровне;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распре</w:t>
      </w:r>
      <w:r w:rsidRPr="00795AEB">
        <w:rPr>
          <w:sz w:val="28"/>
          <w:szCs w:val="28"/>
        </w:rPr>
        <w:t>деление долговой нагрузки на муниципальный район «Дербентский район» с целью обеспечения ежемесячной сбалансированности бюджета;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контроль при среднесрочном планировании объемов заимствований, осуществляемых в нынешних и прогнозируемых экономических условия</w:t>
      </w:r>
      <w:r w:rsidRPr="00795AEB">
        <w:rPr>
          <w:sz w:val="28"/>
          <w:szCs w:val="28"/>
        </w:rPr>
        <w:t>х, для сохранения долговой нагрузки на управляемом уровне;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минимизация стоимости заимствований;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сохранение репутации муниципального района как надежного заемщика, безупречно и своевременно выполняющего финансовые обязательства;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осуществление привлечения но</w:t>
      </w:r>
      <w:r w:rsidRPr="00795AEB">
        <w:rPr>
          <w:sz w:val="28"/>
          <w:szCs w:val="28"/>
        </w:rPr>
        <w:t>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обслуживание, потребности бюджета муниципального района «Дербентский район» и экономической в</w:t>
      </w:r>
      <w:r w:rsidRPr="00795AEB">
        <w:rPr>
          <w:sz w:val="28"/>
          <w:szCs w:val="28"/>
        </w:rPr>
        <w:t>озможности по мобилизации ресурсов;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использование механизмов оперативного управления долговыми </w:t>
      </w:r>
      <w:r w:rsidRPr="00795AEB">
        <w:rPr>
          <w:sz w:val="28"/>
          <w:szCs w:val="28"/>
        </w:rPr>
        <w:lastRenderedPageBreak/>
        <w:t>обязательствами муниципального района «Дербентский район»: корректировка сроков привлечения заимствований;</w:t>
      </w:r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недопущение заимствований с учетом результатов </w:t>
      </w:r>
      <w:r w:rsidRPr="00795AEB">
        <w:rPr>
          <w:sz w:val="28"/>
          <w:szCs w:val="28"/>
        </w:rPr>
        <w:t>исполнения бюджета муниципально</w:t>
      </w:r>
      <w:r w:rsidR="00795AEB">
        <w:rPr>
          <w:sz w:val="28"/>
          <w:szCs w:val="28"/>
        </w:rPr>
        <w:t xml:space="preserve">го района «Дербентский район»; 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tabs>
          <w:tab w:val="left" w:pos="389"/>
        </w:tabs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обеспечение своевременного и полного учета долговых обязательств;</w:t>
      </w:r>
    </w:p>
    <w:p w:rsidR="004D0CA7" w:rsidRPr="00795AEB" w:rsidRDefault="003E581D" w:rsidP="00795AEB">
      <w:pPr>
        <w:pStyle w:val="60"/>
        <w:numPr>
          <w:ilvl w:val="0"/>
          <w:numId w:val="3"/>
        </w:numPr>
        <w:shd w:val="clear" w:color="auto" w:fill="auto"/>
        <w:spacing w:after="140"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информирование населения муниципального района «Дербентский район» о состоянии муниципального долга муниципального района «Дер</w:t>
      </w:r>
      <w:r w:rsidRPr="00795AEB">
        <w:rPr>
          <w:sz w:val="28"/>
          <w:szCs w:val="28"/>
        </w:rPr>
        <w:t>бентский район».</w:t>
      </w:r>
    </w:p>
    <w:p w:rsidR="004D0CA7" w:rsidRPr="00795AEB" w:rsidRDefault="003E581D" w:rsidP="00795AEB">
      <w:pPr>
        <w:pStyle w:val="10"/>
        <w:keepNext/>
        <w:keepLines/>
        <w:shd w:val="clear" w:color="auto" w:fill="auto"/>
        <w:spacing w:after="140" w:line="240" w:lineRule="auto"/>
        <w:ind w:firstLine="567"/>
        <w:jc w:val="both"/>
        <w:rPr>
          <w:sz w:val="28"/>
          <w:szCs w:val="28"/>
        </w:rPr>
      </w:pPr>
      <w:bookmarkStart w:id="11" w:name="bookmark10"/>
      <w:bookmarkStart w:id="12" w:name="bookmark11"/>
      <w:r w:rsidRPr="00795AEB">
        <w:rPr>
          <w:sz w:val="28"/>
          <w:szCs w:val="28"/>
        </w:rPr>
        <w:t>Заключительные положения</w:t>
      </w:r>
      <w:bookmarkEnd w:id="11"/>
      <w:bookmarkEnd w:id="12"/>
    </w:p>
    <w:p w:rsidR="004D0CA7" w:rsidRPr="00795AEB" w:rsidRDefault="003E581D" w:rsidP="00795AEB">
      <w:pPr>
        <w:pStyle w:val="6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</w:t>
      </w:r>
      <w:r w:rsidRPr="00795AEB">
        <w:rPr>
          <w:sz w:val="28"/>
          <w:szCs w:val="28"/>
        </w:rPr>
        <w:t>модернизации социальной сферы и достижения других стратегических целей социально-экономического развития района.</w:t>
      </w:r>
    </w:p>
    <w:p w:rsidR="004D0CA7" w:rsidRPr="00795AEB" w:rsidRDefault="003E581D" w:rsidP="00795AEB">
      <w:pPr>
        <w:pStyle w:val="60"/>
        <w:shd w:val="clear" w:color="auto" w:fill="auto"/>
        <w:spacing w:after="140" w:line="240" w:lineRule="auto"/>
        <w:ind w:firstLine="567"/>
        <w:jc w:val="both"/>
        <w:rPr>
          <w:sz w:val="28"/>
          <w:szCs w:val="28"/>
        </w:rPr>
      </w:pPr>
      <w:r w:rsidRPr="00795AEB">
        <w:rPr>
          <w:sz w:val="28"/>
          <w:szCs w:val="28"/>
        </w:rPr>
        <w:t>Обеспечение полного и доступного информирования населения муниципальн ого района «Дербентский район» о консолидированном бюджете района и отчет</w:t>
      </w:r>
      <w:r w:rsidRPr="00795AEB">
        <w:rPr>
          <w:sz w:val="28"/>
          <w:szCs w:val="28"/>
        </w:rPr>
        <w:t>ах о его исполнении, повышения открытости и прозрачности информации об управлении бюджетными средствами района должно найти отражение в регулярной публикации на официальном сайте администрации муниципального района «Дербентский район» Республики Дагестан.</w:t>
      </w:r>
    </w:p>
    <w:sectPr w:rsidR="004D0CA7" w:rsidRPr="00795AEB" w:rsidSect="00795AEB">
      <w:footerReference w:type="default" r:id="rId12"/>
      <w:type w:val="continuous"/>
      <w:pgSz w:w="11906" w:h="16838" w:code="9"/>
      <w:pgMar w:top="763" w:right="849" w:bottom="1201" w:left="1701" w:header="335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1D" w:rsidRDefault="003E581D">
      <w:r>
        <w:separator/>
      </w:r>
    </w:p>
  </w:endnote>
  <w:endnote w:type="continuationSeparator" w:id="0">
    <w:p w:rsidR="003E581D" w:rsidRDefault="003E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A7" w:rsidRDefault="004D0CA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A7" w:rsidRDefault="004D0CA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A7" w:rsidRDefault="003E58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1FB7F4D" wp14:editId="284F55A9">
              <wp:simplePos x="0" y="0"/>
              <wp:positionH relativeFrom="page">
                <wp:posOffset>2818765</wp:posOffset>
              </wp:positionH>
              <wp:positionV relativeFrom="page">
                <wp:posOffset>6788150</wp:posOffset>
              </wp:positionV>
              <wp:extent cx="93345" cy="1289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128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0CA7" w:rsidRDefault="003E581D">
                          <w:pPr>
                            <w:pStyle w:val="a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252F" w:rsidRPr="00E025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B7F4D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21.95pt;margin-top:534.5pt;width:7.35pt;height:10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" filled="f" stroked="f">
              <v:textbox style="mso-fit-shape-to-text:t" inset="0,0,0,0">
                <w:txbxContent>
                  <w:p w:rsidR="004D0CA7" w:rsidRDefault="003E581D">
                    <w:pPr>
                      <w:pStyle w:val="a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252F" w:rsidRPr="00E0252F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A7" w:rsidRDefault="004D0CA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1D" w:rsidRDefault="003E581D"/>
  </w:footnote>
  <w:footnote w:type="continuationSeparator" w:id="0">
    <w:p w:rsidR="003E581D" w:rsidRDefault="003E5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121C"/>
    <w:multiLevelType w:val="multilevel"/>
    <w:tmpl w:val="3CD409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A44B1"/>
    <w:multiLevelType w:val="multilevel"/>
    <w:tmpl w:val="2BC0E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181686"/>
    <w:multiLevelType w:val="multilevel"/>
    <w:tmpl w:val="63D0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A7"/>
    <w:rsid w:val="003E581D"/>
    <w:rsid w:val="004D0CA7"/>
    <w:rsid w:val="00795AEB"/>
    <w:rsid w:val="00E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106B"/>
  <w15:docId w15:val="{7539E394-AA2B-42A1-890E-1A5DA401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7" w:lineRule="auto"/>
      <w:ind w:left="30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47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5AEB"/>
    <w:rPr>
      <w:color w:val="000000"/>
    </w:rPr>
  </w:style>
  <w:style w:type="paragraph" w:styleId="a7">
    <w:name w:val="footer"/>
    <w:basedOn w:val="a"/>
    <w:link w:val="a8"/>
    <w:uiPriority w:val="99"/>
    <w:unhideWhenUsed/>
    <w:rsid w:val="00795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A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2022-11-01T08:55:00Z</dcterms:created>
  <dcterms:modified xsi:type="dcterms:W3CDTF">2022-11-01T09:05:00Z</dcterms:modified>
</cp:coreProperties>
</file>