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00" w:rsidRPr="00DA6500" w:rsidRDefault="00DA6500" w:rsidP="00DA6500">
      <w:pPr>
        <w:spacing w:after="0" w:line="270" w:lineRule="atLeast"/>
        <w:jc w:val="center"/>
        <w:rPr>
          <w:rFonts w:ascii="PT Sans" w:eastAsia="Times New Roman" w:hAnsi="PT Sans" w:cs="Times New Roman"/>
          <w:sz w:val="20"/>
          <w:szCs w:val="20"/>
          <w:lang w:eastAsia="ru-RU"/>
        </w:rPr>
      </w:pPr>
      <w:bookmarkStart w:id="0" w:name="_GoBack"/>
      <w:r w:rsidRPr="00DA6500">
        <w:rPr>
          <w:rFonts w:ascii="PT Serif" w:eastAsia="Times New Roman" w:hAnsi="PT Serif" w:cs="Times New Roman"/>
          <w:b/>
          <w:bCs/>
          <w:sz w:val="26"/>
          <w:szCs w:val="26"/>
          <w:lang w:eastAsia="ru-RU"/>
        </w:rPr>
        <w:t>СПРАВКА</w:t>
      </w:r>
    </w:p>
    <w:p w:rsidR="00DA6500" w:rsidRPr="00DA6500" w:rsidRDefault="00DA6500" w:rsidP="00DA6500">
      <w:pPr>
        <w:spacing w:after="0" w:line="270" w:lineRule="atLeast"/>
        <w:jc w:val="center"/>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о ходе выполнения плана мероприятий по реализации приоритетных проектов развития Республики Дагестан  в Дербентском районе за   2015 года.</w:t>
      </w:r>
    </w:p>
    <w:bookmarkEnd w:id="0"/>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numPr>
          <w:ilvl w:val="0"/>
          <w:numId w:val="1"/>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Приоритетный</w:t>
      </w:r>
      <w:r w:rsidRPr="00DA6500">
        <w:rPr>
          <w:rFonts w:ascii="PT Serif" w:eastAsia="Times New Roman" w:hAnsi="PT Serif" w:cs="Times New Roman"/>
          <w:color w:val="1D374B"/>
          <w:sz w:val="26"/>
          <w:szCs w:val="26"/>
          <w:lang w:eastAsia="ru-RU"/>
        </w:rPr>
        <w:t> </w:t>
      </w:r>
      <w:r w:rsidRPr="00DA6500">
        <w:rPr>
          <w:rFonts w:ascii="PT Serif" w:eastAsia="Times New Roman" w:hAnsi="PT Serif" w:cs="Times New Roman"/>
          <w:b/>
          <w:bCs/>
          <w:color w:val="1D374B"/>
          <w:sz w:val="26"/>
          <w:szCs w:val="26"/>
          <w:lang w:eastAsia="ru-RU"/>
        </w:rPr>
        <w:t>Проект «Обеление экономики.</w:t>
      </w:r>
    </w:p>
    <w:p w:rsidR="00DA6500" w:rsidRPr="00DA6500" w:rsidRDefault="00DA6500" w:rsidP="00DA6500">
      <w:pPr>
        <w:spacing w:after="0" w:line="270" w:lineRule="atLeast"/>
        <w:ind w:left="928"/>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В рамках этого проекта в районе за январь - декабрь   2015 года сделано:</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 актуализации земельных участков за январь - декабрь  текущего года   при плане 4406 земельных участков поставлено на учет -6072 земельных участков   или 138%.</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 актуализации данных объектов капитального строительства  (ОКС) за январь- декабрь 2015 года  при плане 2312 земельных участков поставлено на учет-1073 или 46%.</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консолидированный бюджет Дербентского района по итогам  2015 года поступило всего 207 млн. 310 тыс.  при плане 229 млн. 585 тыс. руб. или 90%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w:t>
      </w:r>
      <w:r w:rsidRPr="00DA6500">
        <w:rPr>
          <w:rFonts w:ascii="PT Serif" w:eastAsia="Times New Roman" w:hAnsi="PT Serif" w:cs="Times New Roman"/>
          <w:b/>
          <w:bCs/>
          <w:sz w:val="26"/>
          <w:szCs w:val="26"/>
          <w:lang w:eastAsia="ru-RU"/>
        </w:rPr>
        <w:t>Налог на имущество физических лиц</w:t>
      </w:r>
      <w:r w:rsidRPr="00DA6500">
        <w:rPr>
          <w:rFonts w:ascii="PT Serif" w:eastAsia="Times New Roman" w:hAnsi="PT Serif" w:cs="Times New Roman"/>
          <w:sz w:val="26"/>
          <w:szCs w:val="26"/>
          <w:lang w:eastAsia="ru-RU"/>
        </w:rPr>
        <w:t>   по итогам  2015 года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поступило-10 млн. 194 тыс. руб.  при плане 16 млн. 720 тыс. руб. или 61%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w:t>
      </w:r>
      <w:r w:rsidRPr="00DA6500">
        <w:rPr>
          <w:rFonts w:ascii="PT Serif" w:eastAsia="Times New Roman" w:hAnsi="PT Serif" w:cs="Times New Roman"/>
          <w:b/>
          <w:bCs/>
          <w:sz w:val="26"/>
          <w:szCs w:val="26"/>
          <w:lang w:eastAsia="ru-RU"/>
        </w:rPr>
        <w:t>Земельный налог</w:t>
      </w:r>
      <w:r w:rsidRPr="00DA6500">
        <w:rPr>
          <w:rFonts w:ascii="PT Serif" w:eastAsia="Times New Roman" w:hAnsi="PT Serif" w:cs="Times New Roman"/>
          <w:sz w:val="26"/>
          <w:szCs w:val="26"/>
          <w:lang w:eastAsia="ru-RU"/>
        </w:rPr>
        <w:t>  по итогам  2015 года поступило  14 млн. 907 тыс. руб.</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при плане 22 млн. 804 тыс. руб. или 65%.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w:t>
      </w:r>
      <w:r w:rsidRPr="00DA6500">
        <w:rPr>
          <w:rFonts w:ascii="PT Serif" w:eastAsia="Times New Roman" w:hAnsi="PT Serif" w:cs="Times New Roman"/>
          <w:b/>
          <w:bCs/>
          <w:sz w:val="26"/>
          <w:szCs w:val="26"/>
          <w:lang w:eastAsia="ru-RU"/>
        </w:rPr>
        <w:t>Налог на доходы физических лиц</w:t>
      </w:r>
      <w:r w:rsidRPr="00DA6500">
        <w:rPr>
          <w:rFonts w:ascii="PT Serif" w:eastAsia="Times New Roman" w:hAnsi="PT Serif" w:cs="Times New Roman"/>
          <w:sz w:val="26"/>
          <w:szCs w:val="26"/>
          <w:lang w:eastAsia="ru-RU"/>
        </w:rPr>
        <w:t> (НДФЛ)- по итогам  2015 года поступило 117 млн. 676 тыс. руб.  при плане 131 млн. 830 тыс. руб. или 89%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w:t>
      </w:r>
      <w:r w:rsidRPr="00DA6500">
        <w:rPr>
          <w:rFonts w:ascii="PT Serif" w:eastAsia="Times New Roman" w:hAnsi="PT Serif" w:cs="Times New Roman"/>
          <w:b/>
          <w:bCs/>
          <w:sz w:val="26"/>
          <w:szCs w:val="26"/>
          <w:lang w:eastAsia="ru-RU"/>
        </w:rPr>
        <w:t>Единый сельскохозяйственный налог</w:t>
      </w:r>
      <w:r w:rsidRPr="00DA6500">
        <w:rPr>
          <w:rFonts w:ascii="PT Serif" w:eastAsia="Times New Roman" w:hAnsi="PT Serif" w:cs="Times New Roman"/>
          <w:sz w:val="26"/>
          <w:szCs w:val="26"/>
          <w:lang w:eastAsia="ru-RU"/>
        </w:rPr>
        <w:t> по итогам 2015 года поступило 863 тыс. руб. при плане 906 тыс. руб.  или 95%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w:t>
      </w:r>
      <w:r w:rsidRPr="00DA6500">
        <w:rPr>
          <w:rFonts w:ascii="PT Serif" w:eastAsia="Times New Roman" w:hAnsi="PT Serif" w:cs="Times New Roman"/>
          <w:b/>
          <w:bCs/>
          <w:sz w:val="26"/>
          <w:szCs w:val="26"/>
          <w:lang w:eastAsia="ru-RU"/>
        </w:rPr>
        <w:t>Единый налог на вмененный доход (ЕНВД)-</w:t>
      </w:r>
      <w:r w:rsidRPr="00DA6500">
        <w:rPr>
          <w:rFonts w:ascii="PT Serif" w:eastAsia="Times New Roman" w:hAnsi="PT Serif" w:cs="Times New Roman"/>
          <w:sz w:val="26"/>
          <w:szCs w:val="26"/>
          <w:lang w:eastAsia="ru-RU"/>
        </w:rPr>
        <w:t> по итогам  2015 года поступило 7 млн. 96 тыс. руб.  при плане 8 млн. 910 тыс. руб. или 80%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w:t>
      </w:r>
      <w:r w:rsidRPr="00DA6500">
        <w:rPr>
          <w:rFonts w:ascii="PT Serif" w:eastAsia="Times New Roman" w:hAnsi="PT Serif" w:cs="Times New Roman"/>
          <w:b/>
          <w:bCs/>
          <w:sz w:val="26"/>
          <w:szCs w:val="26"/>
          <w:lang w:eastAsia="ru-RU"/>
        </w:rPr>
        <w:t>Неналоговые доходы</w:t>
      </w:r>
      <w:r w:rsidRPr="00DA6500">
        <w:rPr>
          <w:rFonts w:ascii="PT Serif" w:eastAsia="Times New Roman" w:hAnsi="PT Serif" w:cs="Times New Roman"/>
          <w:sz w:val="26"/>
          <w:szCs w:val="26"/>
          <w:lang w:eastAsia="ru-RU"/>
        </w:rPr>
        <w:t>- по итогам  2015 года поступило 25 млн. 414 тыс. руб. при плане 19 млн. 523 тыс. руб. или 130%, годового назначения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 пункту: Выявление и постановка на налоговый учет лиц, осуществляющих предпринимательскую деятельность без соответствующей регистрации.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 инициативе Главы администрации Дербентского района и в рамках реализации приоритетного проекта «Обеление экономики» еженедельно проводились  совместные рейдовые мероприятия с участием отдела экономики налоговой инспекции и РОВД  по Дербентскому району.</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За январь- декабрь  2015 года выявлено 456 лиц занимающихся незаконной предпринимательской деятельностью. За указанный период в качестве </w:t>
      </w:r>
      <w:r w:rsidRPr="00DA6500">
        <w:rPr>
          <w:rFonts w:ascii="PT Serif" w:eastAsia="Times New Roman" w:hAnsi="PT Serif" w:cs="Times New Roman"/>
          <w:sz w:val="26"/>
          <w:szCs w:val="26"/>
          <w:lang w:eastAsia="ru-RU"/>
        </w:rPr>
        <w:lastRenderedPageBreak/>
        <w:t>индивидуальных предпринимателей зарегистрировано  в налоговой инспекции- 210 человек.</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 остальным, отделом экономики совместно с  правоохранительными органами и налоговой инспекцией района  проводится разъяснительная  работа по постановке  на учет лиц занимающихся незаконной предпринимательской деятельности.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3510"/>
        <w:gridCol w:w="840"/>
        <w:gridCol w:w="1140"/>
        <w:gridCol w:w="1155"/>
        <w:gridCol w:w="1545"/>
      </w:tblGrid>
      <w:tr w:rsidR="00DA6500" w:rsidRPr="00DA6500" w:rsidTr="00DA6500">
        <w:trPr>
          <w:trHeight w:val="510"/>
        </w:trPr>
        <w:tc>
          <w:tcPr>
            <w:tcW w:w="3510" w:type="dxa"/>
            <w:vMerge w:val="restart"/>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МР «Дербентский район»</w:t>
            </w:r>
          </w:p>
        </w:tc>
        <w:tc>
          <w:tcPr>
            <w:tcW w:w="4665" w:type="dxa"/>
            <w:gridSpan w:val="4"/>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Снижение неформальной занятости по итогам  2015 года</w:t>
            </w:r>
          </w:p>
        </w:tc>
      </w:tr>
      <w:tr w:rsidR="00DA6500" w:rsidRPr="00DA6500" w:rsidTr="00DA6500">
        <w:trPr>
          <w:trHeight w:val="600"/>
        </w:trPr>
        <w:tc>
          <w:tcPr>
            <w:tcW w:w="0" w:type="auto"/>
            <w:vMerge/>
            <w:tcBorders>
              <w:top w:val="single" w:sz="6" w:space="0" w:color="C0C0C0"/>
              <w:left w:val="single" w:sz="6" w:space="0" w:color="C0C0C0"/>
              <w:bottom w:val="single" w:sz="6" w:space="0" w:color="C0C0C0"/>
              <w:right w:val="single" w:sz="6" w:space="0" w:color="C0C0C0"/>
            </w:tcBorders>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p>
        </w:tc>
        <w:tc>
          <w:tcPr>
            <w:tcW w:w="84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План</w:t>
            </w:r>
          </w:p>
        </w:tc>
        <w:tc>
          <w:tcPr>
            <w:tcW w:w="114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Факт</w:t>
            </w:r>
          </w:p>
        </w:tc>
        <w:tc>
          <w:tcPr>
            <w:tcW w:w="115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 исп.</w:t>
            </w:r>
          </w:p>
        </w:tc>
        <w:tc>
          <w:tcPr>
            <w:tcW w:w="154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УФНС</w:t>
            </w:r>
          </w:p>
        </w:tc>
      </w:tr>
      <w:tr w:rsidR="00DA6500" w:rsidRPr="00DA6500" w:rsidTr="00DA6500">
        <w:tc>
          <w:tcPr>
            <w:tcW w:w="351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ans" w:eastAsia="Times New Roman" w:hAnsi="PT Sans" w:cs="Times New Roman"/>
                <w:color w:val="1D374B"/>
                <w:sz w:val="20"/>
                <w:szCs w:val="20"/>
                <w:lang w:eastAsia="ru-RU"/>
              </w:rPr>
              <w:t> </w:t>
            </w:r>
          </w:p>
        </w:tc>
        <w:tc>
          <w:tcPr>
            <w:tcW w:w="84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2373</w:t>
            </w:r>
          </w:p>
        </w:tc>
        <w:tc>
          <w:tcPr>
            <w:tcW w:w="114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565</w:t>
            </w:r>
          </w:p>
        </w:tc>
        <w:tc>
          <w:tcPr>
            <w:tcW w:w="115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24</w:t>
            </w:r>
          </w:p>
        </w:tc>
        <w:tc>
          <w:tcPr>
            <w:tcW w:w="154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DA6500" w:rsidRPr="00DA6500" w:rsidRDefault="00DA6500" w:rsidP="00DA6500">
            <w:pPr>
              <w:spacing w:after="0" w:line="270" w:lineRule="atLeast"/>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МРИ № 3</w:t>
            </w:r>
          </w:p>
        </w:tc>
      </w:tr>
    </w:tbl>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За январь- декабрь составлены трудовые соглашения на 565 чел.</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Отделом внутренних дел по Дербентскому району составлены акты по статье 14.1 (незаконная предпринимательская деятельность) на 118 чел.</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территории Дербентского района функционирует 1 зарегистрированный рынок «ООО  Дербент» который находится в с. Сабнова.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ходе проверки рынка «ООО «Дербент» не были устранены те недостатки, которые были выявлены в июле 2015 года.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Каждую декаду  месяца  в министерство экономики и территориального развития РД отправляется мониторинг результатов работы по снижению неформальной занятости.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Также сообщаем, что Комплексная Программа экономического и социального развития Дербентского района на 2016г., плановый период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2017-2018 гг. принято на сессии представительного органа Дербентского района , и прошла согласование с заинтересованными   министерствами и ведомствами РД и проект сдан в Министерство экономики и территориального развития РД.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numPr>
          <w:ilvl w:val="0"/>
          <w:numId w:val="2"/>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Приоритетный Проект «Точки роста инвестиции и эффективное территориальное развитие</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этого проекта в районе за январь- декабрь 2015 года сделано:</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Министерство промышленности торговли и инвестиции Республики Дагестан представлены инвестиционные предложения: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numPr>
          <w:ilvl w:val="0"/>
          <w:numId w:val="3"/>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Строительство предприятия по переработке овощей и фруктов в Дербентском районе (с. Араблинское).</w:t>
      </w:r>
    </w:p>
    <w:p w:rsidR="00DA6500" w:rsidRPr="00DA6500" w:rsidRDefault="00DA6500" w:rsidP="00DA6500">
      <w:pPr>
        <w:numPr>
          <w:ilvl w:val="0"/>
          <w:numId w:val="3"/>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lastRenderedPageBreak/>
        <w:t>Строительство комплекса придорожного сервиса в Дербентском районе (с Хазар).</w:t>
      </w:r>
    </w:p>
    <w:p w:rsidR="00DA6500" w:rsidRPr="00DA6500" w:rsidRDefault="00DA6500" w:rsidP="00DA6500">
      <w:pPr>
        <w:numPr>
          <w:ilvl w:val="0"/>
          <w:numId w:val="3"/>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Строительство туристической базы в Дербентском районе (с Белиджи).</w:t>
      </w:r>
    </w:p>
    <w:p w:rsidR="00DA6500" w:rsidRPr="00DA6500" w:rsidRDefault="00DA6500" w:rsidP="00DA6500">
      <w:pPr>
        <w:numPr>
          <w:ilvl w:val="0"/>
          <w:numId w:val="3"/>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Строительство овощехранилища в Дербентском районе</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 вдоль Федеральной трассы Кавказ поворот  в с. Митаги- Казмаляр).</w:t>
      </w:r>
    </w:p>
    <w:p w:rsidR="00DA6500" w:rsidRPr="00DA6500" w:rsidRDefault="00DA6500" w:rsidP="00DA6500">
      <w:pPr>
        <w:numPr>
          <w:ilvl w:val="0"/>
          <w:numId w:val="4"/>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Строительство бальнеологического центра в Дербентском районе (с Сегеляр).</w:t>
      </w:r>
    </w:p>
    <w:p w:rsidR="00DA6500" w:rsidRPr="00DA6500" w:rsidRDefault="00DA6500" w:rsidP="00DA6500">
      <w:pPr>
        <w:numPr>
          <w:ilvl w:val="0"/>
          <w:numId w:val="4"/>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color w:val="1D374B"/>
          <w:sz w:val="26"/>
          <w:szCs w:val="26"/>
          <w:lang w:eastAsia="ru-RU"/>
        </w:rPr>
        <w:t>Техническое перевооружение и модернизация винзавода  с. Геджух</w:t>
      </w:r>
    </w:p>
    <w:p w:rsidR="00DA6500" w:rsidRPr="00DA6500" w:rsidRDefault="00DA6500" w:rsidP="00DA6500">
      <w:pPr>
        <w:spacing w:after="0" w:line="270" w:lineRule="atLeast"/>
        <w:ind w:left="720"/>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720"/>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Инвестиционные проекты в районе.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numPr>
          <w:ilvl w:val="0"/>
          <w:numId w:val="5"/>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Строительство овощехранилища в Дербентском районе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 вдоль Федеральной трассы Кавказ поворот  в с. Митаги- Казмаляр)- Инвестор ООО «21 Век»-</w:t>
      </w:r>
      <w:r w:rsidRPr="00DA6500">
        <w:rPr>
          <w:rFonts w:ascii="PT Serif" w:eastAsia="Times New Roman" w:hAnsi="PT Serif" w:cs="Times New Roman"/>
          <w:sz w:val="26"/>
          <w:szCs w:val="26"/>
          <w:lang w:eastAsia="ru-RU"/>
        </w:rPr>
        <w:t> на земельном участке 15000 м2, 1,5 га, проектная стоимость строительно-монтажных работ с оборудованием 100 млн. руб.  на сегодняшний день потрачено 37 млн. руб. Вместимость 25000 тонн, площадь двух хранилищ 4000м2. Инвестор СПоК «Мир» 37 млн. руб. начало стройки октябрь 2014 год. Планируемая дата ввода в эксплуатацию сентябрь-октябрь 2015 года.</w:t>
      </w:r>
    </w:p>
    <w:p w:rsidR="00DA6500" w:rsidRPr="00DA6500" w:rsidRDefault="00DA6500" w:rsidP="00DA6500">
      <w:pPr>
        <w:numPr>
          <w:ilvl w:val="0"/>
          <w:numId w:val="6"/>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 Инвестор ООО «Виноградарь»-</w:t>
      </w:r>
      <w:r w:rsidRPr="00DA6500">
        <w:rPr>
          <w:rFonts w:ascii="PT Serif" w:eastAsia="Times New Roman" w:hAnsi="PT Serif" w:cs="Times New Roman"/>
          <w:color w:val="1D374B"/>
          <w:sz w:val="26"/>
          <w:szCs w:val="26"/>
          <w:lang w:eastAsia="ru-RU"/>
        </w:rPr>
        <w:t> посажено 400 га молодых виноградников, заложено в 2014 году, сумма инвестиций составляет</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40 млн. руб. инвестор частное лицо Гаджиев Тимур, из них субсидии государства 25 млн. руб. деньги инвестора 15 млн. руб. Учредители Гаджиев Тимур и Мурадов Валид., в том числе посадка интенсивного сада 21 га.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 пункту разработка и корректировка схем территориального развития и планирования сельских и городских поселений Дербентского района</w:t>
      </w:r>
    </w:p>
    <w:p w:rsidR="00DA6500" w:rsidRPr="00DA6500" w:rsidRDefault="00DA6500" w:rsidP="00DA6500">
      <w:pPr>
        <w:spacing w:after="0" w:line="270" w:lineRule="atLeast"/>
        <w:ind w:left="-426"/>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426"/>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сегодняшний день в Дербентском районе разработаны генеральные планы восьми населенных пунктов. (с. Сабнова, с/с Зидьян-Казмалярский", с. Митаги-Казмаляр,  с/с Хазарский, с. Араблинское, с. Джалган, пос. Мамедкала, пос. Белиджи). При этом еще 21 населенных пунктов Дербентского района,  в которых работы по вопросам подготовки проектов генеральных планом не проведена вообще.  Следует отметить, что разработка генеральных планов и правил землепользования и застройки  удовольствие не из дешевых и как правило  она реализуется за счет  средств республиканского и местных бюджетов.</w:t>
      </w:r>
    </w:p>
    <w:p w:rsidR="00DA6500" w:rsidRPr="00DA6500" w:rsidRDefault="00DA6500" w:rsidP="00DA6500">
      <w:pPr>
        <w:spacing w:after="0" w:line="270" w:lineRule="atLeast"/>
        <w:ind w:left="-426"/>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настоящее время  работа по разработке  проектов Генеральных планов на стадии завершения и полному  завершению  указанных работ препятствует не выполнение условий указанного выше Соглашения со стороны Министерства Строительства и ЖКХ РД.</w:t>
      </w:r>
    </w:p>
    <w:p w:rsidR="00DA6500" w:rsidRPr="00DA6500" w:rsidRDefault="00DA6500" w:rsidP="00DA6500">
      <w:pPr>
        <w:spacing w:after="0" w:line="270" w:lineRule="atLeast"/>
        <w:ind w:left="-426"/>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lastRenderedPageBreak/>
        <w:t>Заместителю Председателя Правительства Идрисову Г.И. направлено обращении  от 03.03.2015г. №01-31-476 с  просьбой содействия в  со финансировании  Правительством РД уже  подготовленных генеральных планов восьми населенных пунктов, по которым Минстрой РД не выполняет условия ранее подписанного соглашения.</w:t>
      </w:r>
    </w:p>
    <w:p w:rsidR="00DA6500" w:rsidRPr="00DA6500" w:rsidRDefault="00DA6500" w:rsidP="00DA6500">
      <w:pPr>
        <w:spacing w:after="0" w:line="270" w:lineRule="atLeast"/>
        <w:ind w:left="-426"/>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numPr>
          <w:ilvl w:val="0"/>
          <w:numId w:val="7"/>
        </w:numPr>
        <w:spacing w:after="0" w:line="270" w:lineRule="atLeast"/>
        <w:ind w:left="0"/>
        <w:rPr>
          <w:rFonts w:ascii="PT Sans" w:eastAsia="Times New Roman" w:hAnsi="PT Sans" w:cs="Times New Roman"/>
          <w:color w:val="1D374B"/>
          <w:sz w:val="20"/>
          <w:szCs w:val="20"/>
          <w:lang w:eastAsia="ru-RU"/>
        </w:rPr>
      </w:pPr>
      <w:r w:rsidRPr="00DA6500">
        <w:rPr>
          <w:rFonts w:ascii="PT Serif" w:eastAsia="Times New Roman" w:hAnsi="PT Serif" w:cs="Times New Roman"/>
          <w:b/>
          <w:bCs/>
          <w:color w:val="1D374B"/>
          <w:sz w:val="26"/>
          <w:szCs w:val="26"/>
          <w:lang w:eastAsia="ru-RU"/>
        </w:rPr>
        <w:t>Приоритетный проект «Новая индустриализация»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сегодняшний день составлен реестр всех промышленных предприятий, расположенных на территории района и перечень товаров, выпускаемых этими предприятиями и оказываемые ими услуги.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Все предприятия выставлены на официальном сайте района и на сайте поддержки дагестанского производителя Госкаталог. Ru.</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Ежеквартально проводится актуализация всех предприятий, расположенных на территории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Обязали всех руководителей бюджетной сферы при заключении контракта с единственным поставщиком отдавать предпочтения местным производителям, т.е. организациям и предприятиям, зарегистрированным на территории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проекта «Новая индустриализация» подготовлены площадки под создания новых индустриальных праков:</w:t>
      </w:r>
    </w:p>
    <w:p w:rsidR="00DA6500" w:rsidRPr="00DA6500" w:rsidRDefault="00DA6500" w:rsidP="00DA6500">
      <w:pPr>
        <w:spacing w:after="0" w:line="270" w:lineRule="atLeast"/>
        <w:ind w:left="72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1.     Консервный завод-17 га сел. Салик</w:t>
      </w:r>
    </w:p>
    <w:p w:rsidR="00DA6500" w:rsidRPr="00DA6500" w:rsidRDefault="00DA6500" w:rsidP="00DA6500">
      <w:pPr>
        <w:spacing w:after="0" w:line="270" w:lineRule="atLeast"/>
        <w:ind w:left="72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2.     Мясокомбинат- 5 га сел. Чинар.</w:t>
      </w:r>
    </w:p>
    <w:p w:rsidR="00DA6500" w:rsidRPr="00DA6500" w:rsidRDefault="00DA6500" w:rsidP="00DA6500">
      <w:pPr>
        <w:spacing w:after="0" w:line="270" w:lineRule="atLeast"/>
        <w:ind w:left="720"/>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Проведен сбор информации о свободных производственных площадях, расположенных на территориях следующих предприятий:</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ООО «Фериде»; ООО «Маяк»; ООО «Ника-С»; ГУП им. К. Маркса</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винзавод); ЗАО им. Ш.Алиева (винзавод); ГУП Геджух (винзавод); консервный завод (пос. Белиджи);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министерство РД представлена Программа по импортозамещению предприятиями, расположенными на территории района.</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Оказана поддержка ООО «Ника-С» по реконструкции завода, что позволило увеличить переработку сырья на 25 тыс. тонн.</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Ряд предприятий района готовят нормативно-правовые акты для включения их в программу «Модернизация промышленности РД на 2014-2018 гг»</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284"/>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4. Приоритетный Проект «Эффективное государственное управление.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В 5 мая 2015 года в районе рамках  реализации приоритетного проекта   «Эффективное государственное управление» открылись </w:t>
      </w:r>
      <w:r w:rsidRPr="00DA6500">
        <w:rPr>
          <w:rFonts w:ascii="PT Serif" w:eastAsia="Times New Roman" w:hAnsi="PT Serif" w:cs="Times New Roman"/>
          <w:sz w:val="26"/>
          <w:szCs w:val="26"/>
          <w:lang w:eastAsia="ru-RU"/>
        </w:rPr>
        <w:lastRenderedPageBreak/>
        <w:t>многофункциональные центры (МФЦ) в пос. Мамедкала и пос. Белиджи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связи с тем, что от 25. 02. 2015 года создана ГКУ «Дагестанский кадровый центр» Администрацией Дербентского района направлен письмо в управление Администрации Главы и Правительства РД по экспертизе и контролю реализации проектов развития № 01-33-725 от 07.05.2015 года список слушателей  профессиональной переподготовки и повышения квалификации муниципальных служащих Дербентского района с учетом их специализации и должностных обязанностей учебных программ в количестве 6 человек.</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целях открытости муниципальной службы и развития эффективного диалога между муниципальной властью и гражданским обществом в районе все вакансии на муниципальные службы  проводятся на конкурсной основе и размешаются в средствах массовой информации и на официальном сайте Администрации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Решением Собрания депутатов МР «Дербентский район» №44/5 от 30 марта 2015 года принято положение об общественном совете Дербентского района, избран председатель совета, созданы комиссии по социальному развитию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реализации проекта «Эффективное государственное управление»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Во всех школах района  прошли открытые уроки с участием гражданских и муниципальных служащих на тему: «Служба государству- служба обществу».</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Во всех сельских и городских поселений района выделены помещения для открытия территориально-обособленных структурных подразделений (ТОСП) МФЦ.</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С фирмой «НЕЛКО» заключены договора, с 17.03. 2015 по 19.03.2015  года прошли  обучение глава  администрации, заместители главы администрации, начальники управлений, начальники отделов  в единой системе электронного документооборота (ЕСЭД).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Также сообщаем, что был объявлен аукцион по выполнению работ электронного документооборота во втором корпусе администрации Дербентского района, аукцион не состоялся в связи с тем что заявку подал 1 участник.</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Сумма по проведению работ переведены на следующий 2016 год.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 этому пункту основной целью является доведение информационной доступности для всех категорий граждан и служащих через официальный сайт Администрации МР «Дербентский район» со связкой данного сайта с сайтами Управлении Образовании; Опеки и попечительства; ЗАГСа; и других отделов. Также проведен анализ сайтов сельских и городских поселений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5. Приоритетный проект «Безопасный Дагестан</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lastRenderedPageBreak/>
        <w:t>В рамках этого проекта в районе за январь- декабрь  2015 года сделано:</w:t>
      </w:r>
    </w:p>
    <w:p w:rsidR="00DA6500" w:rsidRPr="00DA6500" w:rsidRDefault="00DA6500" w:rsidP="00DA6500">
      <w:pPr>
        <w:spacing w:after="0" w:line="270" w:lineRule="atLeast"/>
        <w:ind w:left="360"/>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В соответствии с Планом работы были проведены ряд совещаний, встречи с главами сельских, поселковых администраций района с участием широких слоев общественности с ознакомлением решений антитеррористической комиссии.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Администрацией МР «Дербентский район» 18.02.2015 г. в целях своевременного информирования о возникновении угрозы террористического акта, были направлены всем памятки, « О действиях граждан при установлении уровней террористической опасности» обеспечить тиражирование и распространение экземпляров среди населения, в местах массового пребывания граждан, а также была размещена на сайте Администрации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11 марта 2015 г. было проведено расширенное заседание Антитеррористической комиссии МР «Дербентский район» с повесткой дня: «О мерах по предотвращению терроризма и религиозного экстремизма на территории Дербентского района» и «О принимаемых мерах по предотвращению выезда лиц, принимающих участие в вооруженном конфликте на стороне оппозиционных войск в  Сирийской Арабской Республике».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В газете «Дербентские Известия» 17 марта 2015 года опубликовано материалы расширенного заседания Антитеррористической комиссии по противодействию идеологии терроризма и экстремизма.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19 марта 2015 года в актовом зале Дербентского района, руководством администрации была проведена  встреча с представителями духовного управления мусульман  Дагестана и Имамами мечетей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В целях недопущения пропаганды экстремистских учений на территории района с лицами, получившими религиозное образование за рубежом,  а также родителями с участием представителей духовенства проводится целенаправленная индивидуально- профилактическая работа.</w:t>
      </w:r>
    </w:p>
    <w:p w:rsidR="00DA6500" w:rsidRPr="00DA6500" w:rsidRDefault="00DA6500" w:rsidP="00DA6500">
      <w:pPr>
        <w:spacing w:after="0" w:line="270" w:lineRule="atLeast"/>
        <w:ind w:left="20"/>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ind w:left="20"/>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            В преддверии праздновании 70-летие Победы в Великой Отечественной Войне  с   30 апреля по 11 мая 2015 года отделом по антитеррористической работе и составом Антитеррористической комиссии МР «Дербентский район» совместно с главами сельских и городских поселений района, работниками управления образовании, отделом молодежной политики, а также представителями духовенства проведены встречи и мероприятия по обеспечению общественного порядка и безопасности в школах и клубах сельских и поселковых поселений: п. </w:t>
      </w:r>
      <w:r w:rsidRPr="00DA6500">
        <w:rPr>
          <w:rFonts w:ascii="PT Serif" w:eastAsia="Times New Roman" w:hAnsi="PT Serif" w:cs="Times New Roman"/>
          <w:sz w:val="26"/>
          <w:szCs w:val="26"/>
          <w:lang w:eastAsia="ru-RU"/>
        </w:rPr>
        <w:lastRenderedPageBreak/>
        <w:t>Белиджи, п. Мамедкала, с. Рукель, с. Веикент, с. Джалган, с. Геджух, с. Рубас, с. Чинар.</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целях недопущения пропаганды экстремистских учений на территории района с лицами, получившими религиозное образование за рубежом, с участием представителей духовенства проводится целенаправленная индивидуально-профилактическая работа.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Аппаратом АТК Дербентского района  с 15 по 18 сентября 2015 г.  провели совместные встречи, круглые столы, совещания с активами сел,  имамами мечетей, главами администраций сёл и посёлков,   преподавательским составом  и учащимися на тему: «</w:t>
      </w:r>
      <w:r w:rsidRPr="00DA6500">
        <w:rPr>
          <w:rFonts w:ascii="PT Serif" w:eastAsia="Times New Roman" w:hAnsi="PT Serif" w:cs="Times New Roman"/>
          <w:b/>
          <w:bCs/>
          <w:sz w:val="26"/>
          <w:szCs w:val="26"/>
          <w:lang w:eastAsia="ru-RU"/>
        </w:rPr>
        <w:t>Сущность проявления экстремизма и терроризма среди молодежи Дагестана», </w:t>
      </w:r>
      <w:r w:rsidRPr="00DA6500">
        <w:rPr>
          <w:rFonts w:ascii="PT Serif" w:eastAsia="Times New Roman" w:hAnsi="PT Serif" w:cs="Times New Roman"/>
          <w:sz w:val="26"/>
          <w:szCs w:val="26"/>
          <w:lang w:eastAsia="ru-RU"/>
        </w:rPr>
        <w:t>с целью поднятия уровня теологической подготовки  и правильной трактовки исламских канонов.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сегодняшний день проведено более 40 профилактических бесед. Только на сентябрь 2015 г. провели 19 профилактических бесед  в селе Берикей, а также повторные встречи и беседы.</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сегодняшний день </w:t>
      </w:r>
      <w:r w:rsidRPr="00DA6500">
        <w:rPr>
          <w:rFonts w:ascii="PT Serif" w:eastAsia="Times New Roman" w:hAnsi="PT Serif" w:cs="Times New Roman"/>
          <w:b/>
          <w:bCs/>
          <w:sz w:val="26"/>
          <w:szCs w:val="26"/>
          <w:lang w:eastAsia="ru-RU"/>
        </w:rPr>
        <w:t>приоритетными направлениями </w:t>
      </w:r>
      <w:r w:rsidRPr="00DA6500">
        <w:rPr>
          <w:rFonts w:ascii="PT Serif" w:eastAsia="Times New Roman" w:hAnsi="PT Serif" w:cs="Times New Roman"/>
          <w:sz w:val="26"/>
          <w:szCs w:val="26"/>
          <w:lang w:eastAsia="ru-RU"/>
        </w:rPr>
        <w:t>деятельности ОМВД, над которыми необходимо работать, с учетом критерий оценки деятельности ОМВД, остаются следующие показатели ОСД ОМВД: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обеспечение безопасности граждан, от противоправных посягательств сопряженных с угрозой их жизни и здоровья.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увеличение количества расследуемых дел  по тяжким и особо тяжким преступлениям экономической и коррупционной направленности;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сокращении числа отмененных постановлений об отказе в возбуждении уголовного дела с последующим возбуждением уголовного дела в общем числе вынесенных постановлений об отказе в возбуждении уголовного дела;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профилактика тяжких и особо тяжких преступлений, совершенных на бытовой почве;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раскрытие преступлений прошлых лет;</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розыск подозреваемых и обвиняемых в совершении преступлений и неустановленных(без вести пропавших граждан и не идентифицированных по неопознанным трупам) лиц;</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профилактика преступлений, совершенных в общественных местах, связанных с угрозой жизни, здоровья и имущества граждан, хулиганством;</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укрепление учетно – регистрационной дисциплины;</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недопущение преступлений совершенных несовершеннолетними, в возрасте 14-17 лет;</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За 11 месяцев 2015 года в розыск объявлено 43 преступников, лиц утративших связь с родственниками, без вести пропавших и неопознанных трупов в розыск не объявлено.</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В результате проведенных оперативно-розыскных, поисковых и технических мероприятий сотрудниками отдела МВД России по </w:t>
      </w:r>
      <w:r w:rsidRPr="00DA6500">
        <w:rPr>
          <w:rFonts w:ascii="PT Serif" w:eastAsia="Times New Roman" w:hAnsi="PT Serif" w:cs="Times New Roman"/>
          <w:sz w:val="26"/>
          <w:szCs w:val="26"/>
          <w:lang w:eastAsia="ru-RU"/>
        </w:rPr>
        <w:lastRenderedPageBreak/>
        <w:t>Дербентскому району совместно с другими подразделениями отдела МВД России по Дербентскому району установлено местонахождение и задержано </w:t>
      </w:r>
      <w:r w:rsidRPr="00DA6500">
        <w:rPr>
          <w:rFonts w:ascii="PT Serif" w:eastAsia="Times New Roman" w:hAnsi="PT Serif" w:cs="Times New Roman"/>
          <w:b/>
          <w:bCs/>
          <w:sz w:val="26"/>
          <w:szCs w:val="26"/>
          <w:lang w:eastAsia="ru-RU"/>
        </w:rPr>
        <w:t>23</w:t>
      </w:r>
      <w:r w:rsidRPr="00DA6500">
        <w:rPr>
          <w:rFonts w:ascii="PT Serif" w:eastAsia="Times New Roman" w:hAnsi="PT Serif" w:cs="Times New Roman"/>
          <w:sz w:val="26"/>
          <w:szCs w:val="26"/>
          <w:lang w:eastAsia="ru-RU"/>
        </w:rPr>
        <w:t> преступников.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За 10 месяцев 2015 года прекращено производством 6 дел вследствие акта об амнистии, в прошлом году прекращено 3 уголовных дела (1 вследствие акта об амнистии, 1 дело за отсутствием состава преступления и 1 дело за смертью подозреваемого).</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По всем завершенным расследованием уголовным делам внесены представления.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производстве дознания отдела МВД России по Дербентскому району в октябре 2015 года находилось 72 уголовных дел, что на 5 меньше чем за АППГ. Из них переходящий остаток составил в этом году 5 дела, против 4.</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За 10 мес. 2015 года на территории обслуживания ОГИБДД Дербентского района  зарегистрировано ДТП  – 15/14 с числом погибших – 5/2, раненых-13/19.</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процессе надзора за движением автомототранспорта и пешеходов на дорогах района сотрудниками отделения</w:t>
      </w:r>
      <w:r w:rsidRPr="00DA6500">
        <w:rPr>
          <w:rFonts w:ascii="PT Serif" w:eastAsia="Times New Roman" w:hAnsi="PT Serif" w:cs="Times New Roman"/>
          <w:b/>
          <w:bCs/>
          <w:sz w:val="26"/>
          <w:szCs w:val="26"/>
          <w:lang w:eastAsia="ru-RU"/>
        </w:rPr>
        <w:t> ГИБДД </w:t>
      </w:r>
      <w:r w:rsidRPr="00DA6500">
        <w:rPr>
          <w:rFonts w:ascii="PT Serif" w:eastAsia="Times New Roman" w:hAnsi="PT Serif" w:cs="Times New Roman"/>
          <w:sz w:val="26"/>
          <w:szCs w:val="26"/>
          <w:lang w:eastAsia="ru-RU"/>
        </w:rPr>
        <w:t>выявлено </w:t>
      </w:r>
      <w:r w:rsidRPr="00DA6500">
        <w:rPr>
          <w:rFonts w:ascii="PT Serif" w:eastAsia="Times New Roman" w:hAnsi="PT Serif" w:cs="Times New Roman"/>
          <w:b/>
          <w:bCs/>
          <w:sz w:val="26"/>
          <w:szCs w:val="26"/>
          <w:lang w:eastAsia="ru-RU"/>
        </w:rPr>
        <w:t>5679/5944 </w:t>
      </w:r>
      <w:r w:rsidRPr="00DA6500">
        <w:rPr>
          <w:rFonts w:ascii="PT Serif" w:eastAsia="Times New Roman" w:hAnsi="PT Serif" w:cs="Times New Roman"/>
          <w:sz w:val="26"/>
          <w:szCs w:val="26"/>
          <w:lang w:eastAsia="ru-RU"/>
        </w:rPr>
        <w:t>нарушений ПДД, выявлено водителей, управлявших транспортным средством в нетрезвом состоянии  92 против 117.Получена 3 информации.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Раскрыто 11/4 преступлений (из которых 6 лично, 5 с участием), совместно разыскано 2/0 лиц.</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Зарегистрировано преступлений связанных с покушениями на ТС- 2/1(кража и угон). Привлечены к административной ответственности должностные лица в процессе дорожного надзора 29 против 25, пешеходов 123 против 121.</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Вынесено 5343 постановлений на сумму 3504500, из которых исполнены в ГИБДД всего 1026 на сумму 923900, исполнено также 1231 постановлений на сумму 723100. Направлено в мир. суд 276/245 материалов.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 6. Приоритетный проект «Эффективный агропромышленный комплекс</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этого проекта в районе за январь- декабрь  2015 года сделано:</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Учитывая то что 2015 год был объявлен Главой Республики годом садоводства в районе принято программа по расширению площадей занятых под садами. Так за 2015 год в районе посажено 43 га садов из  них 21 га интенсивные сады, интенсивные сады посадил инвестор ООО «Виноградарь».Инвестиции составили 6,8 млн. рублей, из них 5,8 млн. рублей субсидии и 1 млн. рублей средства инвестора. Также заложены фруктовые сады на площади 22 га, заклада произведена населением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lastRenderedPageBreak/>
        <w:t>В  рамках реализации приоритетного проекта «Эффективный агропромышленный комплекс» текущем году уделялось большое внимание овощам защищенного грунта т.е. развито тепличное хозяйство на общей площади 10,59 га.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районе за январь- декабрь   текущего года в районе построено 12 га теплиц, которые уже функционируют и произведена закладка фундамента на площади 2,5 в МУП  «Теркеме». Всего инвестировано в тепличное хозяйство 69 млн. рублей.</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Таким образом на создание  1 га теплицы инвестировано 4,6 млн. рублей. В  тепличное хозяйства занимаются производством томатов и огурцов.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Таким образом на создание  1 га теплицы инвестировано 4,6 млн. рублей. В  тепличное хозяйства занимаются производством томатов и огурцов.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этом году с 12,5 га теплиц получено томатов 382 тонны и огурцы 25 тонн.</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Подписаны соглашения с потенциальными инвесторами (ДЗИВ, ДКК, ООО Агролайн, ООО Виноградарь)</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Формированы инвестиционные площадки и предоставлены инвесторам ( ОООАгролайн, ООО Виноградарь, ДКК), которые произвели закладку новых молодых виноградников на общей площади 180 га, в том числе ООО «Агролайн»- 70 га, ООО «Виноградарь»- 60 га,  Дербентский коньячный комбинат (ДКК) – 50 га.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Инвестор ООО «Виноградарь» посадил 60 га молодых виноградников, сумма инвестиций составляет 10 млн. рублей, инвестор частное лицо Гаджиев Тимур, из них субсидии государства 4,2 млн. рублей, деньги инвестора 5,8 млн. рублей.</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Инвестор ООО «Агролайн»- посажено 70 га молодых виноградников, сумма инвестиций составляет 13 млн. рублей из них субсидии государства 7,1 млн. рублей, деньги инвестора 5,9 млн. рублей.</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Населением района за 2015 год заложено 19,7 га виноградников.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 развитие логистики.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Состоялась заседание по развитию проекта  Фер-Эл Гам. Определяется земельные участки под водоотвод и водоснабжение.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Всего необходимо 3,7 км, из них 2,6 км. пройдет на территории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Данное время ведутся переговоры по цене завода с владельцами Белиджинского консервного завода.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Задача администрации Дербентского района отвести земли т.е. 2,6 км.</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Проект переведен на 2016 год.</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этом году в районе проводилась сплошная инвентаризация всех земельных участков. Составлена интерактивная карта всех земель Дербентского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Регистрация право произведено а следующих населенных пунктов : с. Падар 40%; с. Чинар 50%; с. Аглоби 70%; с. Берикей 50%; с. Рукель 40%;</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lastRenderedPageBreak/>
        <w:t>пос. Белиджи 40%</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Создан    сельскохозяйственный потребительский кооператив (СПоК)     в с. Кала, Дербентского района подготовлен плантаж на 20 га.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Основана  питомниководства для посадочного материала (ООО Питомник Уллутерекеме), вся документация подготовлена выдан сертификат и питомник  получил лицензию на реализацию саженцев.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территории Дербентского района функционирует ООО «Дербентское торгово-производственное предприятие», учредитель Дагпотребсоюз. Годовой вал составляет 11 млн. рублей.</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Производится сухофрукты из хурмы, дыни, сливы, яблоки. Мощности позволяют производить сухофрукты из 350 кг. Свежих фруктов за 3 дня.</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реализации проекта «Эффективный агропромышленный комплекс» предоставление грантов начинающим фермерам на конкурс направлены два индивидуальных предпринимателей: Мирзалиев Мирзали с. Н. Джалган, и Ханмагомедова Оксана с. Сабнова.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7. Приоритетный проект «Человеческий капитал</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Под проект «Культура и культурная политика»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Говоря об участии в приоритетном проекте «Человеческий капитал», под проект «Культура и культурная политика», где основным аспектом было открытие Центров традиционной культуры народов России, хочется отметить, что в Дербентском районе в числе первых.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рамках празднования 2000-летия Дербента фольклорный коллектив Управления культуры принял участие в международном фестивале «Дербент - перекресток цивилизаций», а так же на территории крепости Нарын-Кала была развернута выставка этнокультуры Центра традиционной культуры народов России Дербентского района в рамках данного международного фестиваля и международного дня музеев.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Основные мероприятия Дня Победы   прошли в селении Чинар Дербентского района, где было организовано массовое  шествие – парад,  чествование ветеранов  ВОВ  и был   проведен концерт звезд  Дагестанской эстрады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5 по 11 июня прошел 3-ий Международный фестиваль Народного Творчества Российских регионов и Прикаспийских стран Каспий – Берега Дружбы.</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Данном мероприятии приняли активное участие фольклорный коллектив «Терекеме» Дербентского района, который представили инсцеинировку свадебного обряда,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исполнительницу народных песен Арзу Керимхановну. На фестивале «Кавказский базар» приняло активное участие в номинации «Народный промысел» представитель из Верхнего Джалгана Мастер работы с глиной Садула Новрузов.</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lastRenderedPageBreak/>
        <w:t>24 июля 2015 года в с. Деличобан прошел торжественный концерт к Дню Конституции Республики Дагестан котором приняли участие более 300 чел.</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концертной программе свое мастерство представили, как фольклорные коллективы, так и звезды Дагестанской эстрады.</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читальном зале районной библиотеке прошли беседы и лекции с работниками библиотечной системы, посвященной к дню конституции.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01.10.2015 г.  «Международный день пожилых людей», «Международный день музыки».   Отделом культуры, национальной политики и религии были организованы встречи с аксакалами сел, беседы с  ветеранами  ВОВ, встречи с  музыкально – художественными коллективами, преподавателями музыки. Участие в мероприятии  приняли и Сельские Дома культуры, художественные школы, библиотеки  района  04.10.2015 г.  В читальном зале районной библиотеки прошло мероприятие, посвященный «Международному дню защиты животных», «Наши братья меньшие», «Ребятам о зверятах» была развернута  книжная выставка, обзоры, провели беседы. Так же активное участие на мероприятии приняли работники и читатели сельских библиотек.</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3.  05.10.2015 г.  В актовом зале администрации Дербентского района прошло мероприятие, посвященный «Дню учителю». Отделом культуры, национальной политики и религии была организована концертная программа с участие МКДЦ  и детской художественной школой   пос. Мамедкала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10 ноября в здании отдела МВД России по Дербентскому району прошло торжественное мероприятие посвященное Дню Полиции  где приняла участие отдел культуры , нац. политики и религии, выступили учащийся  школ дополнительного образования пос. Мамедкала.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26 ноября в администрации Дербентского района прошел торжественный праздник посвященный Дню матери. На мероприятии приняли участие Глава Дербентского района Магомед Джелилов, заместители главы Сеидмагомед Бабаев, Анвер Гаджимурадов, Садир Эмиргамзаев, депутаты районного собрания, директора школ и другие. "Дорогие друзья! Нет более высокой миссии на Земле, чем миссия матери. Для наших матерей мы всегда останемся детьми в их мудрых глазах. Место матери в жизни настоящего человека ни кто никогда не заменит. Я абсолютно убежден, что обязанность каждого человека оберегать и уважать свою мать. Сегодня мы  празднуем ваш праздник - дорогие наши матери. Хочу всех вас поздравить с этим знаменательным праздником. В этот замечательный день я выражаю всем женщинам признательность и уважение за мудрость, заботу и терпение, за то, что вы всегда наполняете жизнь светом добра, красоты и любви. Обращаясь к женщинам Дагестана Глава нашей республики Рамазан Гаджимурадович сказал - Роль современной женщины в мире многогранна, она замечательная труженница, грамотный специалист, умелый руководитель, но прежде всего она остается </w:t>
      </w:r>
      <w:r w:rsidRPr="00DA6500">
        <w:rPr>
          <w:rFonts w:ascii="PT Serif" w:eastAsia="Times New Roman" w:hAnsi="PT Serif" w:cs="Times New Roman"/>
          <w:sz w:val="26"/>
          <w:szCs w:val="26"/>
          <w:lang w:eastAsia="ru-RU"/>
        </w:rPr>
        <w:lastRenderedPageBreak/>
        <w:t>заботливой матерью и любящей женой. Желаю вам бесконечного здоровья и улыбок на лице" - обратился Магомед Джелилов. Далее Глава района вручил памятные подарки многодетным матерям и конверты с деньгами вдовам работников полиции Дербентского района. Концертная программа продолжилась выступлением учеников и воспитанников образовательных учреждений Дербентского района. Также Магомед Джелилов отметил, что 25% из числа районных, поселковых и сельских депутатов должны быть представительницы слабого пола.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1.12.2015 г. В читальном зале районной библиотеки  прошло мероприятие  «Всемирный  день борьбы  мо СПИДОМ. Были проведены беседы с мед. работниками, была организована выставка.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4 декабря    в читальном зале МЦБС  состоялись  литературные  чтения, посвященное дню рождения  Фазу Гамзатовне Алиевой.</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красочно оформленной  книжно – иллюстрированной  выставке: «Душа чье,  волнение всегда через край» были представлены книги Ф.Алиевой «День добра», «Корзина спелой вишни», «Вечный огонь», а также  оформлен стенд «Путь вечности Фазу».</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Методисты  МЦБС Сеидова Айна и Аскендерова Мадина ознакомили всех присутствующих с жизнью и деятельности, а так же с творчеством поэта.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Далее читатели сельских библиотек  декламировали стихи Ф.Алиевой  «Мама», «Материнский наказ», «Вера в жизнь» , «Мальчики – 41 го «, «Когда бы знать» и др.</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заключении директор МЦБС поблагодарила всех присутствующих за участие в мероприятии.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Под проект Молодежный Дагестан</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Проведено фестиваль патриотической песни, поведено 6 этапов военно-спортивной игры «Годен к строевой»  , финал состоится 05 апреля, где будут участвовать 6 команд. Проведено районное мероприятия в гимназии пос. Белиджи , посвященная к дню вывода воск с Афганистана, разработана проект положения о проведении торжественных проводов призывников в ряды вооруженных сил России, составлен районный план празднования 70-летия Победы., определен место посадки 70 сиреней в пос. Мамедкала, во всех населенных пунктах посажены деревья , « Дерево Победы».     Создано волонтерские движения «наследники Победы», разработан положение о проведении районного парада наследников победы, которая состоялся   2 мая  2015 года в пос. Мамедкала.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 xml:space="preserve">    Проведено встречи молодежи и учащихся с воинами интернационалистами и участниками боевых действий , таких школах, как СОШ № 1 и №2 с. Чинар, в во все школах пос. Мамедкала .и пос. Белиджи  и в других общеобразовательных школах.     Разработан план мероприятий встреч молодежи с ветеранами ВОВ, встреча с ветераном ВОВ  Фаталиевым </w:t>
      </w:r>
      <w:r w:rsidRPr="00DA6500">
        <w:rPr>
          <w:rFonts w:ascii="PT Serif" w:eastAsia="Times New Roman" w:hAnsi="PT Serif" w:cs="Times New Roman"/>
          <w:sz w:val="26"/>
          <w:szCs w:val="26"/>
          <w:lang w:eastAsia="ru-RU"/>
        </w:rPr>
        <w:lastRenderedPageBreak/>
        <w:t>Уружбеком в с Н- Джалган и по плану встречи будут проходить во всех населенных пунктах , где проживают ветераны ВОВ. Проведено очистка территорий всех памятников во всех населенных пунктах, назначены уполномоченные от молодежного парламента, по проведении и организации « Вахта памяти»</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b/>
          <w:bCs/>
          <w:sz w:val="26"/>
          <w:szCs w:val="26"/>
          <w:lang w:eastAsia="ru-RU"/>
        </w:rPr>
        <w:t>Под проект: Здоровый Дагестан</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пяти участковых больницах внедрены 15 коек дневного стационара по 3 койки в каждой участковой больнице.</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2015 году прошли специализацию 44 врача,  направлены на повышения квалификации за 1 квартал 17 врачей, из средних медработников нуждаются в специализации 76 чел., за первый квартал направлены 19 чел. Реализации системы маршрутизации направления пациенту в медицинской организации трехуровневой оказании медицинской помощи осуществляется согласно приказа МЗРД №656-Л от 11.06.2014 года.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семи лечебных учреждениях района открыты кабинеты оказания неотложной медицинской помощи для улучшения доступности и качества оказания медицинской помощи населению района</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2015 год сохранили права на бесплатное лекарственное обеспечение 792 чел( по федеральной программе)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На 2015 год заявлено  лекарства на сумму-6063 тыс. руб.</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Региональных льготников 15425чел, на них заявлено лекарства на сумму-3100 тыс. В 2015 году прошли диспансеризации 16124 чел.</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В 2015 году  завершены текущие ремонты в участковых больницах с. Рубас и с. Падар.</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ans" w:eastAsia="Times New Roman" w:hAnsi="PT Sans" w:cs="Times New Roman"/>
          <w:sz w:val="20"/>
          <w:szCs w:val="20"/>
          <w:lang w:eastAsia="ru-RU"/>
        </w:rPr>
        <w:t> </w:t>
      </w:r>
    </w:p>
    <w:p w:rsidR="00DA6500" w:rsidRPr="00DA6500" w:rsidRDefault="00DA6500" w:rsidP="00DA6500">
      <w:pPr>
        <w:spacing w:after="0" w:line="270" w:lineRule="atLeast"/>
        <w:rPr>
          <w:rFonts w:ascii="PT Sans" w:eastAsia="Times New Roman" w:hAnsi="PT Sans" w:cs="Times New Roman"/>
          <w:sz w:val="20"/>
          <w:szCs w:val="20"/>
          <w:lang w:eastAsia="ru-RU"/>
        </w:rPr>
      </w:pPr>
      <w:r w:rsidRPr="00DA6500">
        <w:rPr>
          <w:rFonts w:ascii="PT Serif" w:eastAsia="Times New Roman" w:hAnsi="PT Serif" w:cs="Times New Roman"/>
          <w:sz w:val="26"/>
          <w:szCs w:val="26"/>
          <w:lang w:eastAsia="ru-RU"/>
        </w:rPr>
        <w:t>Исп. Загиров Ф.Б. </w:t>
      </w:r>
    </w:p>
    <w:p w:rsidR="00C84F3F" w:rsidRDefault="00DA6500" w:rsidP="00DA6500"/>
    <w:sectPr w:rsidR="00C84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ans">
    <w:panose1 w:val="020B0503020203020204"/>
    <w:charset w:val="CC"/>
    <w:family w:val="swiss"/>
    <w:pitch w:val="variable"/>
    <w:sig w:usb0="A00002EF" w:usb1="5000204B" w:usb2="00000020" w:usb3="00000000" w:csb0="00000097"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703"/>
    <w:multiLevelType w:val="multilevel"/>
    <w:tmpl w:val="91B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32795D"/>
    <w:multiLevelType w:val="multilevel"/>
    <w:tmpl w:val="5CF0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3200D"/>
    <w:multiLevelType w:val="multilevel"/>
    <w:tmpl w:val="9E0C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818F6"/>
    <w:multiLevelType w:val="multilevel"/>
    <w:tmpl w:val="9462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6A07B2"/>
    <w:multiLevelType w:val="multilevel"/>
    <w:tmpl w:val="F524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B1BD5"/>
    <w:multiLevelType w:val="multilevel"/>
    <w:tmpl w:val="BF04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B85628"/>
    <w:multiLevelType w:val="multilevel"/>
    <w:tmpl w:val="1CD2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00"/>
    <w:rsid w:val="002977A2"/>
    <w:rsid w:val="007B7299"/>
    <w:rsid w:val="00DA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DB295-42CD-4E74-9975-A56743EB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500"/>
    <w:rPr>
      <w:b/>
      <w:bCs/>
    </w:rPr>
  </w:style>
  <w:style w:type="character" w:customStyle="1" w:styleId="apple-converted-space">
    <w:name w:val="apple-converted-space"/>
    <w:basedOn w:val="a0"/>
    <w:rsid w:val="00DA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4273</Words>
  <Characters>24362</Characters>
  <Application>Microsoft Office Word</Application>
  <DocSecurity>0</DocSecurity>
  <Lines>203</Lines>
  <Paragraphs>57</Paragraphs>
  <ScaleCrop>false</ScaleCrop>
  <Company>SPecialiST RePack</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dc:creator>
  <cp:keywords/>
  <dc:description/>
  <cp:lastModifiedBy>Alim</cp:lastModifiedBy>
  <cp:revision>1</cp:revision>
  <dcterms:created xsi:type="dcterms:W3CDTF">2016-08-20T14:06:00Z</dcterms:created>
  <dcterms:modified xsi:type="dcterms:W3CDTF">2016-08-20T14:07:00Z</dcterms:modified>
</cp:coreProperties>
</file>