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0F" w:rsidRPr="009D63BC" w:rsidRDefault="006F3EB9" w:rsidP="0067350F">
      <w:pPr>
        <w:tabs>
          <w:tab w:val="left" w:pos="1980"/>
          <w:tab w:val="center" w:pos="7285"/>
        </w:tabs>
        <w:spacing w:after="0" w:line="240" w:lineRule="auto"/>
        <w:jc w:val="center"/>
        <w:rPr>
          <w:b/>
          <w:sz w:val="22"/>
        </w:rPr>
      </w:pPr>
      <w:r w:rsidRPr="009D63BC">
        <w:rPr>
          <w:b/>
          <w:sz w:val="22"/>
        </w:rPr>
        <w:t>Сетевой график</w:t>
      </w:r>
    </w:p>
    <w:p w:rsidR="00C80739" w:rsidRPr="009D63BC" w:rsidRDefault="00C80739" w:rsidP="0067350F">
      <w:pPr>
        <w:tabs>
          <w:tab w:val="left" w:pos="1980"/>
          <w:tab w:val="center" w:pos="7285"/>
        </w:tabs>
        <w:spacing w:after="0" w:line="240" w:lineRule="auto"/>
        <w:jc w:val="center"/>
        <w:rPr>
          <w:b/>
          <w:sz w:val="22"/>
        </w:rPr>
      </w:pPr>
      <w:r w:rsidRPr="009D63BC">
        <w:rPr>
          <w:b/>
          <w:sz w:val="22"/>
        </w:rPr>
        <w:t>по реализации приоритетного проекта развития РД</w:t>
      </w:r>
    </w:p>
    <w:p w:rsidR="00C80739" w:rsidRPr="009D63BC" w:rsidRDefault="00C80739" w:rsidP="0067350F">
      <w:pPr>
        <w:spacing w:after="0" w:line="240" w:lineRule="auto"/>
        <w:contextualSpacing/>
        <w:jc w:val="center"/>
        <w:rPr>
          <w:b/>
          <w:sz w:val="22"/>
        </w:rPr>
      </w:pPr>
      <w:r w:rsidRPr="009D63BC">
        <w:rPr>
          <w:b/>
          <w:sz w:val="22"/>
        </w:rPr>
        <w:t>"Безопасный</w:t>
      </w:r>
      <w:r w:rsidR="001265F1" w:rsidRPr="009D63BC">
        <w:rPr>
          <w:b/>
          <w:sz w:val="22"/>
        </w:rPr>
        <w:t xml:space="preserve"> </w:t>
      </w:r>
      <w:r w:rsidRPr="009D63BC">
        <w:rPr>
          <w:b/>
          <w:sz w:val="22"/>
        </w:rPr>
        <w:t>Дагестан"</w:t>
      </w:r>
      <w:r w:rsidR="00A944BB" w:rsidRPr="009D63BC">
        <w:rPr>
          <w:b/>
          <w:sz w:val="22"/>
        </w:rPr>
        <w:t xml:space="preserve"> МР «Дербентский район»</w:t>
      </w:r>
      <w:r w:rsidRPr="009D63BC">
        <w:rPr>
          <w:b/>
          <w:sz w:val="22"/>
        </w:rPr>
        <w:t xml:space="preserve"> </w:t>
      </w:r>
      <w:r w:rsidR="006F3EB9" w:rsidRPr="009D63BC">
        <w:rPr>
          <w:b/>
          <w:sz w:val="22"/>
        </w:rPr>
        <w:t xml:space="preserve">на 2016 </w:t>
      </w:r>
      <w:r w:rsidR="000B7A02" w:rsidRPr="009D63BC">
        <w:rPr>
          <w:b/>
          <w:sz w:val="22"/>
        </w:rPr>
        <w:t>год.</w:t>
      </w:r>
    </w:p>
    <w:p w:rsidR="00C80739" w:rsidRPr="00852007" w:rsidRDefault="00C80739" w:rsidP="00F25C92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410"/>
        <w:gridCol w:w="569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843"/>
      </w:tblGrid>
      <w:tr w:rsidR="00EE4456" w:rsidRPr="00852007" w:rsidTr="004E392D">
        <w:trPr>
          <w:trHeight w:val="554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 xml:space="preserve">№ </w:t>
            </w:r>
            <w:r w:rsidRPr="00852007">
              <w:rPr>
                <w:spacing w:val="-7"/>
                <w:sz w:val="20"/>
                <w:szCs w:val="20"/>
              </w:rPr>
              <w:t>п/п</w:t>
            </w: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1265F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Информация о мероприятии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b/>
                <w:bCs/>
                <w:i/>
                <w:iCs/>
                <w:sz w:val="20"/>
                <w:szCs w:val="20"/>
              </w:rPr>
              <w:t>(единица измерения)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52007"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май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4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52007">
              <w:rPr>
                <w:spacing w:val="-1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1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7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EE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1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D40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4"/>
                <w:sz w:val="20"/>
                <w:szCs w:val="20"/>
              </w:rPr>
              <w:t>201</w:t>
            </w:r>
            <w:r w:rsidR="00D40F74" w:rsidRPr="00852007">
              <w:rPr>
                <w:spacing w:val="-4"/>
                <w:sz w:val="20"/>
                <w:szCs w:val="20"/>
              </w:rPr>
              <w:t xml:space="preserve">6 </w:t>
            </w:r>
            <w:r w:rsidRPr="00852007">
              <w:rPr>
                <w:spacing w:val="-4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Ожидаемый результат</w:t>
            </w:r>
          </w:p>
        </w:tc>
      </w:tr>
      <w:tr w:rsidR="00D40F74" w:rsidRPr="00852007" w:rsidTr="004E392D">
        <w:trPr>
          <w:cantSplit/>
          <w:trHeight w:val="535"/>
        </w:trPr>
        <w:tc>
          <w:tcPr>
            <w:tcW w:w="565" w:type="dxa"/>
            <w:vMerge/>
            <w:tcBorders>
              <w:left w:val="single" w:sz="8" w:space="0" w:color="auto"/>
              <w:right w:val="nil"/>
            </w:tcBorders>
          </w:tcPr>
          <w:p w:rsidR="00C80739" w:rsidRPr="00852007" w:rsidRDefault="00C80739" w:rsidP="001265F1">
            <w:pPr>
              <w:pStyle w:val="a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80739" w:rsidRPr="00852007" w:rsidRDefault="00C80739" w:rsidP="00C807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739" w:rsidRPr="00852007" w:rsidRDefault="00D40F74" w:rsidP="00D40F7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739" w:rsidRPr="00852007" w:rsidRDefault="00C80739" w:rsidP="00D40F7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pacing w:val="-4"/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Ф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0739" w:rsidRPr="00852007" w:rsidRDefault="00C80739" w:rsidP="00C807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4456" w:rsidRPr="00852007" w:rsidTr="004E392D">
        <w:trPr>
          <w:trHeight w:val="1109"/>
        </w:trPr>
        <w:tc>
          <w:tcPr>
            <w:tcW w:w="565" w:type="dxa"/>
            <w:vMerge/>
            <w:tcBorders>
              <w:left w:val="single" w:sz="8" w:space="0" w:color="auto"/>
              <w:right w:val="nil"/>
            </w:tcBorders>
          </w:tcPr>
          <w:p w:rsidR="00C80739" w:rsidRPr="00852007" w:rsidRDefault="00C80739" w:rsidP="001265F1">
            <w:pPr>
              <w:pStyle w:val="a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0739" w:rsidRPr="00852007" w:rsidRDefault="00C80739" w:rsidP="00C807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739" w:rsidRPr="00852007" w:rsidRDefault="00C80739" w:rsidP="000356A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 xml:space="preserve">% </w:t>
            </w:r>
            <w:r w:rsidRPr="00852007">
              <w:rPr>
                <w:spacing w:val="-1"/>
                <w:sz w:val="20"/>
                <w:szCs w:val="20"/>
              </w:rPr>
              <w:t xml:space="preserve">выполнения </w:t>
            </w:r>
            <w:r w:rsidRPr="00852007">
              <w:rPr>
                <w:spacing w:val="-2"/>
                <w:sz w:val="20"/>
                <w:szCs w:val="20"/>
              </w:rPr>
              <w:t>к месячному</w:t>
            </w:r>
          </w:p>
          <w:p w:rsidR="00C80739" w:rsidRPr="00852007" w:rsidRDefault="00C80739" w:rsidP="000356AE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pacing w:val="-3"/>
                <w:sz w:val="20"/>
                <w:szCs w:val="20"/>
              </w:rPr>
              <w:t xml:space="preserve">% </w:t>
            </w:r>
            <w:proofErr w:type="spellStart"/>
            <w:r w:rsidRPr="00852007">
              <w:rPr>
                <w:spacing w:val="-3"/>
                <w:sz w:val="20"/>
                <w:szCs w:val="20"/>
              </w:rPr>
              <w:t>вып</w:t>
            </w:r>
            <w:proofErr w:type="spellEnd"/>
            <w:r w:rsidRPr="00852007">
              <w:rPr>
                <w:spacing w:val="-3"/>
                <w:sz w:val="20"/>
                <w:szCs w:val="20"/>
              </w:rPr>
              <w:t xml:space="preserve">. к </w:t>
            </w:r>
            <w:r w:rsidRPr="00852007">
              <w:rPr>
                <w:sz w:val="20"/>
                <w:szCs w:val="20"/>
              </w:rPr>
              <w:t>мес.</w:t>
            </w:r>
          </w:p>
          <w:p w:rsidR="00C80739" w:rsidRPr="00852007" w:rsidRDefault="00C80739" w:rsidP="00C807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007">
              <w:rPr>
                <w:sz w:val="20"/>
                <w:szCs w:val="20"/>
              </w:rPr>
              <w:t>плану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0739" w:rsidRPr="00852007" w:rsidRDefault="00C80739" w:rsidP="00C807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6DA0" w:rsidRPr="00852007" w:rsidTr="004E392D">
        <w:trPr>
          <w:trHeight w:val="525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0" w:rsidRPr="009D63BC" w:rsidRDefault="00BA6DA0" w:rsidP="002D669F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D63BC">
              <w:rPr>
                <w:b/>
                <w:sz w:val="22"/>
                <w:szCs w:val="22"/>
              </w:rPr>
              <w:t>Противодействие идеологии экстремизма и терроризма</w:t>
            </w:r>
          </w:p>
        </w:tc>
      </w:tr>
      <w:tr w:rsidR="00D40F74" w:rsidRPr="009D63BC" w:rsidTr="004E392D">
        <w:trPr>
          <w:trHeight w:val="2315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356AE" w:rsidRPr="009D63BC" w:rsidRDefault="000356AE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1</w:t>
            </w:r>
          </w:p>
          <w:p w:rsidR="000356AE" w:rsidRPr="009D63BC" w:rsidRDefault="000356AE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(1)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356AE" w:rsidRPr="009D63BC" w:rsidRDefault="000356AE" w:rsidP="0027014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sz w:val="22"/>
              </w:rPr>
              <w:t>Участие в реализации государственной программы Республики Дагестан «Информационное противодействие идеологии экстре</w:t>
            </w:r>
            <w:r w:rsidR="006F3EB9" w:rsidRPr="009D63BC">
              <w:rPr>
                <w:sz w:val="22"/>
              </w:rPr>
              <w:t>мизма и терроризма» на 2016</w:t>
            </w:r>
            <w:r w:rsidR="0027014D" w:rsidRPr="009D63BC">
              <w:rPr>
                <w:sz w:val="22"/>
              </w:rPr>
              <w:t>год</w:t>
            </w:r>
            <w:r w:rsidRPr="009D63BC"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hideMark/>
          </w:tcPr>
          <w:p w:rsidR="000356AE" w:rsidRPr="009D63BC" w:rsidRDefault="000356AE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0356AE" w:rsidRPr="009D63BC" w:rsidRDefault="000356AE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6AE" w:rsidRPr="009D63BC" w:rsidRDefault="000356AE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56AE" w:rsidRPr="009D63BC" w:rsidRDefault="00BA6DA0" w:rsidP="0027014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sz w:val="22"/>
              </w:rPr>
              <w:t xml:space="preserve">Осуществление </w:t>
            </w:r>
            <w:r w:rsidR="0027014D" w:rsidRPr="009D63BC">
              <w:rPr>
                <w:sz w:val="22"/>
              </w:rPr>
              <w:t>комплексных мер, направленных на идеологическое противодействие экстремизму и терроризму, иде</w:t>
            </w:r>
            <w:r w:rsidR="008C2A07" w:rsidRPr="009D63BC">
              <w:rPr>
                <w:sz w:val="22"/>
              </w:rPr>
              <w:t>ологическая работа с населением.</w:t>
            </w:r>
          </w:p>
        </w:tc>
      </w:tr>
      <w:tr w:rsidR="00D40F74" w:rsidRPr="009D63BC" w:rsidTr="00A40E35">
        <w:trPr>
          <w:trHeight w:val="1434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A6FC2" w:rsidRPr="009D63BC" w:rsidRDefault="005A6FC2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5A6FC2" w:rsidRPr="009D63BC" w:rsidRDefault="005A6FC2" w:rsidP="005A6FC2">
            <w:pPr>
              <w:pStyle w:val="Default"/>
              <w:rPr>
                <w:sz w:val="22"/>
                <w:szCs w:val="22"/>
              </w:rPr>
            </w:pPr>
            <w:r w:rsidRPr="009D63BC">
              <w:rPr>
                <w:sz w:val="22"/>
                <w:szCs w:val="22"/>
              </w:rPr>
              <w:t xml:space="preserve">Проведение совещания с представителями </w:t>
            </w:r>
            <w:proofErr w:type="gramStart"/>
            <w:r w:rsidRPr="009D63BC">
              <w:rPr>
                <w:sz w:val="22"/>
                <w:szCs w:val="22"/>
              </w:rPr>
              <w:t>имамов  мечетей</w:t>
            </w:r>
            <w:proofErr w:type="gramEnd"/>
            <w:r w:rsidRPr="009D63BC">
              <w:rPr>
                <w:sz w:val="22"/>
                <w:szCs w:val="22"/>
              </w:rPr>
              <w:t xml:space="preserve"> сельских и городских поселений района</w:t>
            </w:r>
          </w:p>
          <w:p w:rsidR="005A6FC2" w:rsidRPr="00A40E35" w:rsidRDefault="005A6FC2" w:rsidP="00A40E35">
            <w:pPr>
              <w:rPr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hideMark/>
          </w:tcPr>
          <w:p w:rsidR="00F12A28" w:rsidRPr="009D63BC" w:rsidRDefault="00F12A28" w:rsidP="00C80739">
            <w:pPr>
              <w:spacing w:after="0" w:line="240" w:lineRule="auto"/>
              <w:rPr>
                <w:sz w:val="22"/>
              </w:rPr>
            </w:pPr>
          </w:p>
          <w:p w:rsidR="00F12A28" w:rsidRPr="009D63BC" w:rsidRDefault="00F12A28" w:rsidP="00F12A28">
            <w:pPr>
              <w:rPr>
                <w:sz w:val="22"/>
              </w:rPr>
            </w:pPr>
          </w:p>
          <w:p w:rsidR="005A6FC2" w:rsidRPr="009D63BC" w:rsidRDefault="005A6FC2" w:rsidP="00F12A28">
            <w:pPr>
              <w:rPr>
                <w:sz w:val="22"/>
              </w:rPr>
            </w:pPr>
          </w:p>
          <w:p w:rsidR="00F12A28" w:rsidRPr="009D63BC" w:rsidRDefault="00F12A28" w:rsidP="00F12A28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5A6FC2" w:rsidRPr="009D63BC" w:rsidRDefault="005A6FC2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E41483" w:rsidRPr="009D63BC" w:rsidRDefault="00E41483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E41483" w:rsidRPr="009D63BC" w:rsidRDefault="00E41483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  <w:p w:rsidR="00E41483" w:rsidRPr="009D63BC" w:rsidRDefault="00E41483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C2" w:rsidRPr="009D63BC" w:rsidRDefault="005A6FC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6FC2" w:rsidRPr="009D63BC" w:rsidRDefault="005A6FC2" w:rsidP="00C80739">
            <w:pPr>
              <w:spacing w:after="0" w:line="240" w:lineRule="auto"/>
              <w:rPr>
                <w:sz w:val="22"/>
              </w:rPr>
            </w:pPr>
          </w:p>
        </w:tc>
      </w:tr>
      <w:tr w:rsidR="00D4636C" w:rsidRPr="009D63BC" w:rsidTr="004E392D">
        <w:trPr>
          <w:trHeight w:val="548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D4636C">
            <w:pPr>
              <w:spacing w:before="100" w:beforeAutospacing="1" w:after="60" w:line="240" w:lineRule="auto"/>
              <w:jc w:val="both"/>
              <w:rPr>
                <w:rFonts w:eastAsia="Times New Roman"/>
                <w:iCs/>
                <w:color w:val="000000"/>
                <w:sz w:val="22"/>
                <w:lang w:eastAsia="ru-RU"/>
              </w:rPr>
            </w:pPr>
            <w:r w:rsidRPr="009D63BC">
              <w:rPr>
                <w:rFonts w:eastAsia="Times New Roman"/>
                <w:iCs/>
                <w:color w:val="000000"/>
                <w:sz w:val="22"/>
                <w:lang w:eastAsia="ru-RU"/>
              </w:rPr>
              <w:t xml:space="preserve">Проведение заседаний муниципальной </w:t>
            </w:r>
            <w:r w:rsidRPr="009D63BC">
              <w:rPr>
                <w:rFonts w:eastAsia="Times New Roman"/>
                <w:iCs/>
                <w:color w:val="000000"/>
                <w:sz w:val="22"/>
                <w:lang w:eastAsia="ru-RU"/>
              </w:rPr>
              <w:lastRenderedPageBreak/>
              <w:t xml:space="preserve">антитеррористической комиссии в МО «Дербентский район».  </w:t>
            </w:r>
          </w:p>
          <w:p w:rsidR="00D4636C" w:rsidRPr="009D63BC" w:rsidRDefault="00D4636C" w:rsidP="005A6F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D4636C">
            <w:pPr>
              <w:pStyle w:val="a8"/>
              <w:rPr>
                <w:rFonts w:eastAsia="Times New Roman"/>
                <w:iCs/>
                <w:color w:val="000000"/>
                <w:sz w:val="22"/>
                <w:lang w:eastAsia="ru-RU"/>
              </w:rPr>
            </w:pPr>
            <w:r w:rsidRPr="009D63BC">
              <w:rPr>
                <w:sz w:val="22"/>
              </w:rPr>
              <w:t>Оптимизировать работу по снятию с у</w:t>
            </w:r>
            <w:r w:rsidR="00852007" w:rsidRPr="009D63BC">
              <w:rPr>
                <w:sz w:val="22"/>
              </w:rPr>
              <w:t>чета лиц, причастных к распрост</w:t>
            </w:r>
            <w:r w:rsidRPr="009D63BC">
              <w:rPr>
                <w:sz w:val="22"/>
              </w:rPr>
              <w:t>ранению идеоло</w:t>
            </w:r>
            <w:r w:rsidR="00852007" w:rsidRPr="009D63BC">
              <w:rPr>
                <w:sz w:val="22"/>
              </w:rPr>
              <w:t>гии экстремизма, но раскаявших</w:t>
            </w:r>
            <w:r w:rsidRPr="009D63BC">
              <w:rPr>
                <w:sz w:val="22"/>
              </w:rPr>
              <w:t>ся или попавших</w:t>
            </w:r>
            <w:r w:rsidR="00852007" w:rsidRPr="009D63BC">
              <w:rPr>
                <w:sz w:val="22"/>
              </w:rPr>
              <w:t xml:space="preserve"> на учет без достаточных основа</w:t>
            </w:r>
            <w:r w:rsidRPr="009D63BC">
              <w:rPr>
                <w:sz w:val="22"/>
              </w:rPr>
              <w:t>ний, а также изъявивших желание принят</w:t>
            </w:r>
            <w:r w:rsidR="00852007" w:rsidRPr="009D63BC">
              <w:rPr>
                <w:sz w:val="22"/>
              </w:rPr>
              <w:t>ь участие в мероприятиях по про</w:t>
            </w:r>
            <w:r w:rsidRPr="009D63BC">
              <w:rPr>
                <w:sz w:val="22"/>
              </w:rPr>
              <w:t>тиводействию и</w:t>
            </w:r>
            <w:r w:rsidR="00852007" w:rsidRPr="009D63BC">
              <w:rPr>
                <w:sz w:val="22"/>
              </w:rPr>
              <w:t>деологии экстремизма и террориз</w:t>
            </w:r>
            <w:r w:rsidRPr="009D63BC">
              <w:rPr>
                <w:sz w:val="22"/>
              </w:rPr>
              <w:t xml:space="preserve">ма.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1.4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D4636C">
            <w:pPr>
              <w:pStyle w:val="a8"/>
              <w:rPr>
                <w:sz w:val="22"/>
              </w:rPr>
            </w:pPr>
            <w:r w:rsidRPr="009D63BC">
              <w:rPr>
                <w:sz w:val="22"/>
              </w:rPr>
              <w:t>Провести в муниципальном образовании полномасштабную работу по разъяснению населению ответственности в соответствии с действующим законодательством РФ за содействие террористической деятельности.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</w:tr>
      <w:tr w:rsidR="00D4636C" w:rsidRPr="009D63BC" w:rsidTr="004E392D">
        <w:trPr>
          <w:trHeight w:val="1109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F9F" w:rsidRPr="009D63BC" w:rsidRDefault="00D4636C" w:rsidP="009D63BC">
            <w:pPr>
              <w:spacing w:after="0" w:line="240" w:lineRule="auto"/>
              <w:rPr>
                <w:rFonts w:ascii="Pt Sans" w:hAnsi="Pt Sans"/>
                <w:color w:val="000000"/>
                <w:sz w:val="22"/>
                <w:shd w:val="clear" w:color="auto" w:fill="FFFFFF"/>
              </w:rPr>
            </w:pPr>
            <w:proofErr w:type="gramStart"/>
            <w:r w:rsidRPr="009D63BC">
              <w:rPr>
                <w:b/>
                <w:sz w:val="22"/>
              </w:rPr>
              <w:lastRenderedPageBreak/>
              <w:t>Комментарий:</w:t>
            </w:r>
            <w:r w:rsidR="00FC312F" w:rsidRPr="009D63BC">
              <w:rPr>
                <w:sz w:val="22"/>
              </w:rPr>
              <w:t xml:space="preserve"> </w:t>
            </w:r>
            <w:r w:rsidR="009D63BC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</w:t>
            </w:r>
            <w:r w:rsidR="00D57F9F" w:rsidRPr="009D63BC">
              <w:rPr>
                <w:rFonts w:eastAsia="Times New Roman"/>
                <w:b/>
                <w:color w:val="000000"/>
                <w:sz w:val="22"/>
                <w:lang w:eastAsia="ru-RU"/>
              </w:rPr>
              <w:t>4</w:t>
            </w:r>
            <w:proofErr w:type="gramEnd"/>
            <w:r w:rsidR="00D57F9F" w:rsidRPr="009D63BC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февраля 2016 г</w:t>
            </w:r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.  в" МКОУ СОШ №2 с. Белиджи" было проведено </w:t>
            </w:r>
            <w:proofErr w:type="gramStart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>мероприятие  "</w:t>
            </w:r>
            <w:proofErr w:type="gramEnd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Мы против терроризма! Мы хотим мирной жизни!". На мероприятии приняли участие начальник РУО </w:t>
            </w:r>
            <w:proofErr w:type="spellStart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>Кахриманов</w:t>
            </w:r>
            <w:proofErr w:type="spellEnd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М.А., заместитель начальника РУО Гаджиев Н.Б., начальник отдела по антитеррористической работе Дербентского района Алиев Н.А., начальник отдела молодежной политики района </w:t>
            </w:r>
            <w:proofErr w:type="spellStart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>Гаджиахмедов</w:t>
            </w:r>
            <w:proofErr w:type="spellEnd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Р.Ф., руководитель отдела просвещения </w:t>
            </w:r>
            <w:proofErr w:type="spellStart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>муфтията</w:t>
            </w:r>
            <w:proofErr w:type="spellEnd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РД Рамазанов К.Н., представители погранзаставы "Хазар"- шефы школы, директора соседних школ, участники боевых действий, учащиеся и учителя школы, жители села. Мероприятие было подготовлено силами учителей школы Азизовой Б.Ш., Курбановой Г.Д., Гаджиевой З.М., Алиевой Т.А., </w:t>
            </w:r>
            <w:proofErr w:type="spellStart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>Абдуризаевой</w:t>
            </w:r>
            <w:proofErr w:type="spellEnd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Р.Н., Мамедовой Н.А., </w:t>
            </w:r>
            <w:proofErr w:type="spellStart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>Раджабовой</w:t>
            </w:r>
            <w:proofErr w:type="spellEnd"/>
            <w:r w:rsidR="00D57F9F"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К.М.  и другие. " </w:t>
            </w:r>
          </w:p>
          <w:p w:rsidR="00D57F9F" w:rsidRPr="009D63BC" w:rsidRDefault="00D57F9F" w:rsidP="00D57F9F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  <w:r w:rsidRPr="009D63BC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февраля</w:t>
            </w:r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в здании администрации Дербентского района состоялось совещание по вопросам взаимодействия муниципальных органов с духовенством, для выработки мер по решению имеющихся в муниципальном районе "Дербентский район". На совещании присутствовали   заместители Главы муниципального района "Дербентский район"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Садир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Эмиргамзаев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Фуад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Шихиев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Сейфедин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Велибеков - начальник отдела по взаимодействию с государственными органами власти и муниципальными образованиями,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Гюлахмед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Маллаев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- начальник информационного аналитического отдела,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Магди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- Хаджи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Абидов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представитель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муфтията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РД в Южном Дагестане, </w:t>
            </w:r>
            <w:proofErr w:type="spellStart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>Адиль</w:t>
            </w:r>
            <w:proofErr w:type="spellEnd"/>
            <w:r w:rsidRPr="009D63BC">
              <w:rPr>
                <w:rFonts w:eastAsia="Times New Roman"/>
                <w:color w:val="000000"/>
                <w:sz w:val="22"/>
                <w:lang w:eastAsia="ru-RU"/>
              </w:rPr>
              <w:t xml:space="preserve"> - Хаджи-председатель Совета имамов Дербентского района, главы сельских поселений, начальники отделов, управлений и служб администрации Дербентского района. </w:t>
            </w:r>
          </w:p>
          <w:p w:rsidR="00D57F9F" w:rsidRPr="009D63BC" w:rsidRDefault="00D57F9F" w:rsidP="0017269B">
            <w:pPr>
              <w:pStyle w:val="12"/>
              <w:shd w:val="clear" w:color="auto" w:fill="auto"/>
              <w:spacing w:line="307" w:lineRule="exact"/>
              <w:ind w:firstLine="0"/>
              <w:rPr>
                <w:sz w:val="22"/>
                <w:szCs w:val="22"/>
              </w:rPr>
            </w:pPr>
            <w:r w:rsidRPr="009D63BC">
              <w:rPr>
                <w:b/>
                <w:color w:val="000000"/>
                <w:sz w:val="22"/>
                <w:szCs w:val="22"/>
              </w:rPr>
              <w:t>11 февраля</w:t>
            </w:r>
            <w:r w:rsidRPr="009D63BC">
              <w:rPr>
                <w:color w:val="000000"/>
                <w:sz w:val="22"/>
                <w:szCs w:val="22"/>
              </w:rPr>
              <w:t xml:space="preserve"> в МКОУ СОШ №1 села Белиджи было проведено мероприятие "Терроризм и его последствия". На мероприятии присутствовали начальник РУО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Мугутдин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Кахриманов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, ведущие специалисты отдела по антитеррористической работе -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Шахбаз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Гаджиалиев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Мевлан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Султанахмедов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, заместитель муфтия РД -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Шагабитдин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Керимов, заведующий отделом просвещения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муфтията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РД - Курбан Рамазанов, председатель Совета имамов Дербентского района -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Адиль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 xml:space="preserve"> - хаджи </w:t>
            </w:r>
            <w:proofErr w:type="spellStart"/>
            <w:r w:rsidRPr="009D63BC">
              <w:rPr>
                <w:color w:val="000000"/>
                <w:sz w:val="22"/>
                <w:szCs w:val="22"/>
              </w:rPr>
              <w:t>Каибов</w:t>
            </w:r>
            <w:proofErr w:type="spellEnd"/>
            <w:r w:rsidRPr="009D63BC">
              <w:rPr>
                <w:color w:val="000000"/>
                <w:sz w:val="22"/>
                <w:szCs w:val="22"/>
              </w:rPr>
              <w:t>, уча</w:t>
            </w:r>
            <w:r w:rsidR="00A40E35">
              <w:rPr>
                <w:color w:val="000000"/>
                <w:sz w:val="22"/>
                <w:szCs w:val="22"/>
              </w:rPr>
              <w:t xml:space="preserve">стковый села - Аслан </w:t>
            </w:r>
            <w:proofErr w:type="spellStart"/>
            <w:r w:rsidR="00A40E35">
              <w:rPr>
                <w:color w:val="000000"/>
                <w:sz w:val="22"/>
                <w:szCs w:val="22"/>
              </w:rPr>
              <w:t>Эседуллаев</w:t>
            </w:r>
            <w:proofErr w:type="spellEnd"/>
            <w:r w:rsidR="00A40E35">
              <w:rPr>
                <w:color w:val="000000"/>
                <w:sz w:val="22"/>
                <w:szCs w:val="22"/>
              </w:rPr>
              <w:t>.</w:t>
            </w:r>
            <w:r w:rsidRPr="009D63BC">
              <w:rPr>
                <w:color w:val="000000"/>
                <w:sz w:val="22"/>
                <w:szCs w:val="22"/>
              </w:rPr>
              <w:t xml:space="preserve"> </w:t>
            </w:r>
          </w:p>
          <w:p w:rsidR="00D4636C" w:rsidRDefault="00A40E35" w:rsidP="00A40E35">
            <w:pPr>
              <w:pStyle w:val="12"/>
              <w:shd w:val="clear" w:color="auto" w:fill="auto"/>
              <w:spacing w:line="240" w:lineRule="auto"/>
              <w:ind w:right="-3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D57F9F" w:rsidRPr="009D63BC">
              <w:rPr>
                <w:b/>
                <w:color w:val="000000"/>
                <w:sz w:val="22"/>
                <w:szCs w:val="22"/>
              </w:rPr>
              <w:t xml:space="preserve"> февраля</w:t>
            </w:r>
            <w:r w:rsidR="00D57F9F" w:rsidRPr="009D63BC">
              <w:rPr>
                <w:color w:val="000000"/>
                <w:sz w:val="22"/>
                <w:szCs w:val="22"/>
              </w:rPr>
              <w:t xml:space="preserve"> в администрации села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Аглоби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состоялся круглый стол на тему «Профилактика терроризма и экстремизма в молодежной среде». На мероприятии присутствовали начальник РУО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Мугутдин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Кахриманов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, глава села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Аглоби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Марат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Магомедагаев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, ведущие специалисты отдела по антитеррористической работе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Шахбаз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Гаджалиев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Мевлан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Султанахмедов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Амираслан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7F9F" w:rsidRPr="009D63BC">
              <w:rPr>
                <w:color w:val="000000"/>
                <w:sz w:val="22"/>
                <w:szCs w:val="22"/>
              </w:rPr>
              <w:t>Мамедбеков</w:t>
            </w:r>
            <w:proofErr w:type="spellEnd"/>
            <w:r w:rsidR="00D57F9F" w:rsidRPr="009D63BC">
              <w:rPr>
                <w:color w:val="000000"/>
                <w:sz w:val="22"/>
                <w:szCs w:val="22"/>
              </w:rPr>
              <w:t xml:space="preserve">, педагоги школы и жители села. </w:t>
            </w:r>
          </w:p>
          <w:p w:rsidR="00A40E35" w:rsidRDefault="00A40E35" w:rsidP="00A40E35">
            <w:pPr>
              <w:pStyle w:val="12"/>
              <w:shd w:val="clear" w:color="auto" w:fill="auto"/>
              <w:spacing w:line="240" w:lineRule="auto"/>
              <w:ind w:right="-3" w:firstLine="0"/>
              <w:rPr>
                <w:color w:val="000000"/>
                <w:sz w:val="22"/>
                <w:szCs w:val="22"/>
              </w:rPr>
            </w:pPr>
            <w:r w:rsidRPr="00A40E35">
              <w:rPr>
                <w:b/>
                <w:color w:val="000000"/>
                <w:sz w:val="22"/>
                <w:szCs w:val="22"/>
              </w:rPr>
              <w:t>11 марта 2016</w:t>
            </w:r>
            <w:r>
              <w:rPr>
                <w:color w:val="000000"/>
                <w:sz w:val="22"/>
                <w:szCs w:val="22"/>
              </w:rPr>
              <w:t xml:space="preserve"> года в администрации Дербентского района состоялась заседание Антитеррористической комиссии </w:t>
            </w:r>
          </w:p>
          <w:p w:rsidR="00A40E35" w:rsidRDefault="00A40E35" w:rsidP="00A40E35">
            <w:pPr>
              <w:pStyle w:val="12"/>
              <w:shd w:val="clear" w:color="auto" w:fill="auto"/>
              <w:spacing w:line="240" w:lineRule="auto"/>
              <w:ind w:right="-3" w:firstLine="0"/>
              <w:rPr>
                <w:color w:val="000000"/>
                <w:sz w:val="22"/>
                <w:szCs w:val="22"/>
              </w:rPr>
            </w:pPr>
            <w:r w:rsidRPr="00A40E35">
              <w:rPr>
                <w:b/>
                <w:color w:val="000000"/>
                <w:sz w:val="22"/>
                <w:szCs w:val="22"/>
              </w:rPr>
              <w:t xml:space="preserve">15 </w:t>
            </w:r>
            <w:proofErr w:type="gramStart"/>
            <w:r w:rsidRPr="00A40E35">
              <w:rPr>
                <w:b/>
                <w:color w:val="000000"/>
                <w:sz w:val="22"/>
                <w:szCs w:val="22"/>
              </w:rPr>
              <w:t>марта</w:t>
            </w:r>
            <w:r>
              <w:rPr>
                <w:color w:val="000000"/>
                <w:sz w:val="22"/>
                <w:szCs w:val="22"/>
              </w:rPr>
              <w:t xml:space="preserve">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селе </w:t>
            </w:r>
            <w:proofErr w:type="spellStart"/>
            <w:r>
              <w:rPr>
                <w:color w:val="000000"/>
                <w:sz w:val="22"/>
                <w:szCs w:val="22"/>
              </w:rPr>
              <w:t>Джемикент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Дербентского района прошел круглый стол «Мы против террора»</w:t>
            </w:r>
          </w:p>
          <w:p w:rsidR="00A40E35" w:rsidRDefault="00A40E35" w:rsidP="00A40E35">
            <w:pPr>
              <w:pStyle w:val="12"/>
              <w:shd w:val="clear" w:color="auto" w:fill="auto"/>
              <w:spacing w:line="240" w:lineRule="auto"/>
              <w:ind w:right="-3" w:firstLine="0"/>
              <w:rPr>
                <w:color w:val="000000"/>
                <w:sz w:val="22"/>
                <w:szCs w:val="22"/>
              </w:rPr>
            </w:pPr>
            <w:r w:rsidRPr="00A40E35">
              <w:rPr>
                <w:b/>
                <w:color w:val="000000"/>
                <w:sz w:val="22"/>
                <w:szCs w:val="22"/>
              </w:rPr>
              <w:t>16 марта</w:t>
            </w:r>
            <w:r>
              <w:rPr>
                <w:color w:val="000000"/>
                <w:sz w:val="22"/>
                <w:szCs w:val="22"/>
              </w:rPr>
              <w:t xml:space="preserve"> в зале администрации Дербентского района состоялось первое в текущем году заседание комиссии по оказанию содействия в адаптации к мирной жизни лицам, решившим прекратить экстремистскую и террористическую деятельность </w:t>
            </w:r>
          </w:p>
          <w:p w:rsidR="00A40E35" w:rsidRDefault="00A40E35" w:rsidP="00A40E35">
            <w:pPr>
              <w:pStyle w:val="12"/>
              <w:shd w:val="clear" w:color="auto" w:fill="auto"/>
              <w:spacing w:line="240" w:lineRule="auto"/>
              <w:ind w:right="-3" w:firstLine="0"/>
              <w:rPr>
                <w:color w:val="000000"/>
                <w:sz w:val="22"/>
                <w:szCs w:val="22"/>
              </w:rPr>
            </w:pPr>
          </w:p>
          <w:p w:rsidR="00A40E35" w:rsidRPr="009D63BC" w:rsidRDefault="00A40E35" w:rsidP="00A40E35">
            <w:pPr>
              <w:pStyle w:val="12"/>
              <w:shd w:val="clear" w:color="auto" w:fill="auto"/>
              <w:spacing w:line="240" w:lineRule="auto"/>
              <w:ind w:right="-3" w:firstLine="0"/>
              <w:rPr>
                <w:sz w:val="22"/>
              </w:rPr>
            </w:pPr>
          </w:p>
        </w:tc>
      </w:tr>
      <w:tr w:rsidR="002D669F" w:rsidRPr="009D63BC" w:rsidTr="004E392D">
        <w:trPr>
          <w:trHeight w:val="436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69F" w:rsidRPr="009D63BC" w:rsidRDefault="002D669F" w:rsidP="002D669F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  <w:r w:rsidRPr="009D63BC">
              <w:rPr>
                <w:b/>
                <w:sz w:val="22"/>
                <w:szCs w:val="22"/>
              </w:rPr>
              <w:t>Обеспечение общественного порядка и противодействие преступности</w:t>
            </w:r>
          </w:p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</w:tr>
      <w:tr w:rsidR="00D40F74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D669F" w:rsidRPr="009D63BC" w:rsidRDefault="002D669F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2</w:t>
            </w:r>
          </w:p>
          <w:p w:rsidR="002D669F" w:rsidRPr="009D63BC" w:rsidRDefault="002D669F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(8)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D669F" w:rsidRPr="009D63BC" w:rsidRDefault="002D669F" w:rsidP="005A6FC2">
            <w:pPr>
              <w:pStyle w:val="Default"/>
              <w:rPr>
                <w:sz w:val="22"/>
                <w:szCs w:val="22"/>
              </w:rPr>
            </w:pPr>
            <w:r w:rsidRPr="009D63BC">
              <w:rPr>
                <w:sz w:val="22"/>
                <w:szCs w:val="22"/>
              </w:rPr>
              <w:t xml:space="preserve">Установка систем видеонаблюдения в образовательных учреждениях </w:t>
            </w:r>
            <w:r w:rsidR="00F25C92" w:rsidRPr="009D63BC">
              <w:rPr>
                <w:sz w:val="22"/>
                <w:szCs w:val="22"/>
              </w:rPr>
              <w:t>Дербентского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9F" w:rsidRPr="009D63BC" w:rsidRDefault="002D669F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профилактика негативных проявлений в местах массового скопления людей</w:t>
            </w:r>
          </w:p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</w:tr>
      <w:tr w:rsidR="00D57F9F" w:rsidRPr="009D63BC" w:rsidTr="004E392D">
        <w:trPr>
          <w:trHeight w:val="1377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F9F" w:rsidRPr="009D63BC" w:rsidRDefault="00D57F9F" w:rsidP="002D669F">
            <w:pPr>
              <w:rPr>
                <w:sz w:val="22"/>
              </w:rPr>
            </w:pPr>
            <w:r w:rsidRPr="009D63BC">
              <w:rPr>
                <w:b/>
                <w:sz w:val="22"/>
              </w:rPr>
              <w:lastRenderedPageBreak/>
              <w:t>Комментарий</w:t>
            </w:r>
            <w:r w:rsidRPr="009D63BC">
              <w:rPr>
                <w:sz w:val="22"/>
              </w:rPr>
              <w:t xml:space="preserve">:  </w:t>
            </w:r>
            <w:r w:rsidRPr="009D63BC">
              <w:rPr>
                <w:color w:val="000000"/>
                <w:sz w:val="22"/>
              </w:rPr>
              <w:t>В</w:t>
            </w:r>
            <w:r w:rsidR="0017269B" w:rsidRPr="009D63BC">
              <w:rPr>
                <w:color w:val="000000"/>
                <w:sz w:val="22"/>
              </w:rPr>
              <w:t xml:space="preserve"> настоящее время </w:t>
            </w:r>
            <w:r w:rsidRPr="009D63BC">
              <w:rPr>
                <w:color w:val="000000"/>
                <w:sz w:val="22"/>
              </w:rPr>
              <w:t xml:space="preserve"> целях обеспечения террористической безопасности муниципальных объектов на территории Дербентского района,  приняты неотложные меры  по: организации усиленной сторожевой охраны; установке приборов-камер видео-фото фиксации; регулярному обследованию прилегающей территории и помещений на предмет обнаружения подозрительных предметов и вещей; выявлению подозрительных лиц пребывающих на территории объектов, особое внимание обращать на переносимую ими ручную кладь.</w:t>
            </w:r>
          </w:p>
        </w:tc>
      </w:tr>
      <w:tr w:rsidR="002D669F" w:rsidRPr="009D63BC" w:rsidTr="004E392D">
        <w:trPr>
          <w:trHeight w:val="387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69F" w:rsidRPr="009D63BC" w:rsidRDefault="002D669F" w:rsidP="002D669F">
            <w:pPr>
              <w:jc w:val="center"/>
              <w:rPr>
                <w:sz w:val="22"/>
              </w:rPr>
            </w:pPr>
            <w:r w:rsidRPr="009D63BC">
              <w:rPr>
                <w:rFonts w:eastAsia="HiddenHorzOCR"/>
                <w:b/>
                <w:sz w:val="22"/>
              </w:rPr>
              <w:t>3.Техногенные риски и природные катастрофы</w:t>
            </w:r>
          </w:p>
        </w:tc>
      </w:tr>
      <w:tr w:rsidR="00D40F74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D669F" w:rsidRPr="009D63BC" w:rsidRDefault="002D669F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3</w:t>
            </w:r>
          </w:p>
          <w:p w:rsidR="002D669F" w:rsidRPr="009D63BC" w:rsidRDefault="002D669F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(9)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D669F" w:rsidRPr="009D63BC" w:rsidRDefault="002D669F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Реализация мероприятий подпрограммы «Комплексные меры по обеспечению пожарной безопасности в Республике Дагестан на 2014-2018 годы» государственной программы Республики Дагестан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годы» (далее – Госпрограмма)</w:t>
            </w:r>
          </w:p>
          <w:p w:rsidR="002D669F" w:rsidRPr="009D63BC" w:rsidRDefault="002D669F" w:rsidP="005A6F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9F" w:rsidRPr="009D63BC" w:rsidRDefault="002D669F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снижение рисков пожаров и смягчение возможных последствий от них, а также снижение основных показателей обстановки, касающихся пожаров</w:t>
            </w: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3.1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D4636C">
            <w:pPr>
              <w:spacing w:before="100" w:beforeAutospacing="1" w:after="60" w:line="240" w:lineRule="auto"/>
              <w:jc w:val="both"/>
              <w:rPr>
                <w:sz w:val="22"/>
              </w:rPr>
            </w:pPr>
            <w:r w:rsidRPr="009D63BC">
              <w:rPr>
                <w:sz w:val="22"/>
              </w:rPr>
              <w:t>Реализация подпрограммы «Создание общественных спасательных постов в местах массового отдыха населения на воде и обучение населения, прежде всего детей, плаванию и приемам спасания на воде в Республике Дагестан на 2014-2017 годы».</w:t>
            </w:r>
          </w:p>
          <w:p w:rsidR="00D4636C" w:rsidRPr="009D63BC" w:rsidRDefault="00D4636C" w:rsidP="002D669F">
            <w:pPr>
              <w:rPr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2D669F">
            <w:pPr>
              <w:rPr>
                <w:sz w:val="22"/>
              </w:rPr>
            </w:pP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D4636C">
            <w:pPr>
              <w:spacing w:before="100" w:beforeAutospacing="1" w:after="60" w:line="240" w:lineRule="auto"/>
              <w:jc w:val="both"/>
              <w:rPr>
                <w:sz w:val="22"/>
              </w:rPr>
            </w:pPr>
            <w:r w:rsidRPr="009D63BC">
              <w:rPr>
                <w:sz w:val="22"/>
              </w:rPr>
              <w:t>Реализация подпрограммы «Снижение рисков и смягчение последствий чрезвычайных ситуаций природного и техногенного характера в Республике Дагестан на 2014-2018 годы».</w:t>
            </w:r>
          </w:p>
          <w:p w:rsidR="00D4636C" w:rsidRPr="009D63BC" w:rsidRDefault="00D4636C" w:rsidP="00D4636C">
            <w:pPr>
              <w:spacing w:before="100" w:beforeAutospacing="1" w:after="60" w:line="240" w:lineRule="auto"/>
              <w:jc w:val="both"/>
              <w:rPr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2D669F">
            <w:pPr>
              <w:rPr>
                <w:sz w:val="22"/>
              </w:rPr>
            </w:pPr>
          </w:p>
        </w:tc>
      </w:tr>
      <w:tr w:rsidR="00D4636C" w:rsidRPr="009D63BC" w:rsidTr="004E392D">
        <w:trPr>
          <w:trHeight w:val="1109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36C" w:rsidRPr="009D63BC" w:rsidRDefault="00D4636C" w:rsidP="00BC6B0A">
            <w:pPr>
              <w:rPr>
                <w:sz w:val="22"/>
              </w:rPr>
            </w:pPr>
            <w:r w:rsidRPr="009D63BC">
              <w:rPr>
                <w:sz w:val="22"/>
              </w:rPr>
              <w:t>Комментарий:</w:t>
            </w:r>
            <w:r w:rsidR="00BC6B0A" w:rsidRPr="009D63BC">
              <w:rPr>
                <w:sz w:val="22"/>
              </w:rPr>
              <w:t xml:space="preserve"> </w:t>
            </w:r>
            <w:r w:rsidR="00CF19C1" w:rsidRPr="009D63BC">
              <w:rPr>
                <w:sz w:val="22"/>
              </w:rPr>
              <w:t>В настоящее время система оповещения населения</w:t>
            </w:r>
            <w:r w:rsidR="009D63BC">
              <w:rPr>
                <w:sz w:val="22"/>
              </w:rPr>
              <w:t xml:space="preserve"> Дербентского района</w:t>
            </w:r>
            <w:r w:rsidR="00CF19C1" w:rsidRPr="009D63BC">
              <w:rPr>
                <w:sz w:val="22"/>
              </w:rPr>
              <w:t xml:space="preserve"> организовано через каналы телевидения, мобильные телефоны и громкоговорящие связи. В то же время на территории района отсутствует оповещение населения через звуковые сирены. Для звукового оповещения населения планируем установить 20 сирен. На 2016 год решением собрания депутатов МО «Дербентский район» от 29.12.2015 г. № 5/3 предусмотрен резерв на предупреждение и ликвидацию ЧС и создан резерв материальных ресурсов для хранения, использования и восполнения для ликвидации ЧС. Распоряжением Главы администрации от 03.02.2016 г. № 37 утвержден новый состав Комиссии по ЧС </w:t>
            </w:r>
            <w:r w:rsidR="00BC6B0A" w:rsidRPr="009D63BC">
              <w:rPr>
                <w:sz w:val="22"/>
              </w:rPr>
              <w:t>п</w:t>
            </w:r>
            <w:r w:rsidR="00CF19C1" w:rsidRPr="009D63BC">
              <w:rPr>
                <w:sz w:val="22"/>
              </w:rPr>
              <w:t xml:space="preserve">о обеспечению пожарной безопасности, на случай ЧС. Комиссия по ЧС проводит свою работу в соответствии с положением и планом работы. Ежеквартально проводятся заседания комиссии, на которых обсуждаются вопросы по предупреждению и ликвидации чрезвычайных ситуаций и обеспечению пожарной безопасности на территории МР «Дербентский район» В целях подготовки к предупреждению и ликвидации чрезвычайных ситуаций </w:t>
            </w:r>
            <w:r w:rsidR="00BC6B0A" w:rsidRPr="009D63BC">
              <w:rPr>
                <w:sz w:val="22"/>
              </w:rPr>
              <w:t xml:space="preserve">и обеспечению пожарной безопасности на территории МР «Дербентский район» отделом ГО и ЧС совместно с главами поселений и </w:t>
            </w:r>
            <w:r w:rsidR="00BC6B0A" w:rsidRPr="009D63BC">
              <w:rPr>
                <w:sz w:val="22"/>
              </w:rPr>
              <w:lastRenderedPageBreak/>
              <w:t>заинтересованными службами района проводятся заблаговременные профилактические мероприятия в населенных пунктах Дербентского района.</w:t>
            </w:r>
          </w:p>
        </w:tc>
      </w:tr>
      <w:tr w:rsidR="002D669F" w:rsidRPr="009D63BC" w:rsidTr="004E392D">
        <w:trPr>
          <w:trHeight w:val="566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69F" w:rsidRPr="009D63BC" w:rsidRDefault="002D669F" w:rsidP="002D669F">
            <w:pPr>
              <w:jc w:val="center"/>
              <w:rPr>
                <w:sz w:val="22"/>
              </w:rPr>
            </w:pPr>
            <w:r w:rsidRPr="009D63BC">
              <w:rPr>
                <w:b/>
                <w:sz w:val="22"/>
              </w:rPr>
              <w:lastRenderedPageBreak/>
              <w:t>4.Противодействие незаконному обороту наркотиков и профилактика наркомании</w:t>
            </w:r>
          </w:p>
        </w:tc>
      </w:tr>
      <w:tr w:rsidR="00D40F74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D669F" w:rsidRPr="009D63BC" w:rsidRDefault="002D669F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5</w:t>
            </w:r>
          </w:p>
          <w:p w:rsidR="002D669F" w:rsidRPr="009D63BC" w:rsidRDefault="002D669F" w:rsidP="00D40F74">
            <w:pPr>
              <w:pStyle w:val="a8"/>
              <w:ind w:left="-57" w:right="-57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(13)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D669F" w:rsidRPr="009D63BC" w:rsidRDefault="002D669F" w:rsidP="002D669F">
            <w:pPr>
              <w:rPr>
                <w:sz w:val="22"/>
              </w:rPr>
            </w:pPr>
            <w:r w:rsidRPr="009D63BC">
              <w:rPr>
                <w:rFonts w:eastAsia="HiddenHorzOCR"/>
                <w:sz w:val="22"/>
              </w:rPr>
              <w:t xml:space="preserve">Мониторинг </w:t>
            </w:r>
            <w:proofErr w:type="spellStart"/>
            <w:r w:rsidRPr="009D63BC">
              <w:rPr>
                <w:rFonts w:eastAsia="HiddenHorzOCR"/>
                <w:sz w:val="22"/>
              </w:rPr>
              <w:t>наркоситуации</w:t>
            </w:r>
            <w:proofErr w:type="spellEnd"/>
            <w:r w:rsidRPr="009D63BC">
              <w:rPr>
                <w:rFonts w:eastAsia="HiddenHorzOCR"/>
                <w:sz w:val="22"/>
              </w:rPr>
              <w:t xml:space="preserve"> в РД</w:t>
            </w:r>
          </w:p>
          <w:p w:rsidR="002D669F" w:rsidRPr="009D63BC" w:rsidRDefault="002D669F" w:rsidP="002D669F">
            <w:pPr>
              <w:rPr>
                <w:sz w:val="22"/>
              </w:rPr>
            </w:pPr>
          </w:p>
          <w:p w:rsidR="002D669F" w:rsidRPr="009D63BC" w:rsidRDefault="002D669F" w:rsidP="002D669F">
            <w:pPr>
              <w:rPr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669F" w:rsidRPr="009D63BC" w:rsidRDefault="002D669F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69F" w:rsidRPr="009D63BC" w:rsidRDefault="002D669F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69F" w:rsidRPr="009D63BC" w:rsidRDefault="00F25C92" w:rsidP="00F25C92">
            <w:pPr>
              <w:autoSpaceDE w:val="0"/>
              <w:autoSpaceDN w:val="0"/>
              <w:adjustRightInd w:val="0"/>
              <w:rPr>
                <w:rFonts w:eastAsia="HiddenHorzOCR"/>
                <w:sz w:val="22"/>
              </w:rPr>
            </w:pPr>
            <w:r w:rsidRPr="009D63BC">
              <w:rPr>
                <w:rFonts w:eastAsia="HiddenHorzOCR"/>
                <w:sz w:val="22"/>
              </w:rPr>
              <w:t>выявление масштабов март распространения незаконного оборота наркотиков и их немедицинского употребления в районе</w:t>
            </w: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5.1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370183">
            <w:pPr>
              <w:pStyle w:val="a8"/>
              <w:rPr>
                <w:rFonts w:eastAsia="HiddenHorzOCR"/>
                <w:sz w:val="22"/>
              </w:rPr>
            </w:pPr>
            <w:r w:rsidRPr="009D63BC">
              <w:rPr>
                <w:sz w:val="22"/>
              </w:rPr>
              <w:t xml:space="preserve">Анализ </w:t>
            </w:r>
            <w:proofErr w:type="spellStart"/>
            <w:r w:rsidRPr="009D63BC">
              <w:rPr>
                <w:sz w:val="22"/>
              </w:rPr>
              <w:t>наркоситуации</w:t>
            </w:r>
            <w:proofErr w:type="spellEnd"/>
            <w:r w:rsidRPr="009D63BC">
              <w:rPr>
                <w:sz w:val="22"/>
              </w:rPr>
              <w:t xml:space="preserve"> в МО «Дербентский район». Проведение круглого стола с участием правоохранительных </w:t>
            </w:r>
            <w:proofErr w:type="gramStart"/>
            <w:r w:rsidRPr="009D63BC">
              <w:rPr>
                <w:sz w:val="22"/>
              </w:rPr>
              <w:t>органов  и</w:t>
            </w:r>
            <w:proofErr w:type="gramEnd"/>
            <w:r w:rsidRPr="009D63BC">
              <w:rPr>
                <w:sz w:val="22"/>
              </w:rPr>
              <w:t xml:space="preserve">  городской Антинаркотической комиссии по </w:t>
            </w:r>
            <w:proofErr w:type="spellStart"/>
            <w:r w:rsidRPr="009D63BC">
              <w:rPr>
                <w:sz w:val="22"/>
              </w:rPr>
              <w:t>монито</w:t>
            </w:r>
            <w:proofErr w:type="spellEnd"/>
            <w:r w:rsidRPr="009D63BC">
              <w:rPr>
                <w:sz w:val="22"/>
              </w:rPr>
              <w:t xml:space="preserve">-рингу </w:t>
            </w:r>
            <w:proofErr w:type="spellStart"/>
            <w:r w:rsidRPr="009D63BC">
              <w:rPr>
                <w:sz w:val="22"/>
              </w:rPr>
              <w:t>наркоситуации</w:t>
            </w:r>
            <w:proofErr w:type="spellEnd"/>
            <w:r w:rsidRPr="009D63BC">
              <w:rPr>
                <w:sz w:val="22"/>
              </w:rPr>
              <w:t xml:space="preserve">  на территории  МО «Дербентский район».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F25C92">
            <w:pPr>
              <w:autoSpaceDE w:val="0"/>
              <w:autoSpaceDN w:val="0"/>
              <w:adjustRightInd w:val="0"/>
              <w:rPr>
                <w:rFonts w:eastAsia="HiddenHorzOCR"/>
                <w:sz w:val="22"/>
              </w:rPr>
            </w:pP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D4636C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5.2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D4636C">
            <w:pPr>
              <w:spacing w:before="100" w:beforeAutospacing="1" w:after="60" w:line="240" w:lineRule="auto"/>
              <w:jc w:val="both"/>
              <w:rPr>
                <w:sz w:val="22"/>
              </w:rPr>
            </w:pPr>
            <w:r w:rsidRPr="009D63BC">
              <w:rPr>
                <w:sz w:val="22"/>
              </w:rPr>
              <w:t>Проведение заседаний Антинаркотической комиссии в Дербентском район»</w:t>
            </w:r>
          </w:p>
          <w:p w:rsidR="00D4636C" w:rsidRPr="009D63BC" w:rsidRDefault="00D4636C" w:rsidP="00D4636C">
            <w:pPr>
              <w:rPr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F25C92">
            <w:pPr>
              <w:autoSpaceDE w:val="0"/>
              <w:autoSpaceDN w:val="0"/>
              <w:adjustRightInd w:val="0"/>
              <w:rPr>
                <w:rFonts w:eastAsia="HiddenHorzOCR"/>
                <w:sz w:val="22"/>
              </w:rPr>
            </w:pPr>
          </w:p>
        </w:tc>
      </w:tr>
      <w:tr w:rsidR="00D4636C" w:rsidRPr="009D63BC" w:rsidTr="004E392D">
        <w:trPr>
          <w:trHeight w:val="517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36C" w:rsidRPr="009D63BC" w:rsidRDefault="00D4636C" w:rsidP="00F25C92">
            <w:pPr>
              <w:autoSpaceDE w:val="0"/>
              <w:autoSpaceDN w:val="0"/>
              <w:adjustRightInd w:val="0"/>
              <w:rPr>
                <w:rFonts w:eastAsia="HiddenHorzOCR"/>
                <w:sz w:val="22"/>
              </w:rPr>
            </w:pPr>
            <w:r w:rsidRPr="009D63BC">
              <w:rPr>
                <w:rFonts w:eastAsia="HiddenHorzOCR"/>
                <w:sz w:val="22"/>
              </w:rPr>
              <w:t>Комментарий:</w:t>
            </w:r>
            <w:r w:rsidR="00270B10">
              <w:rPr>
                <w:rFonts w:eastAsia="HiddenHorzOCR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F25C92" w:rsidRPr="009D63BC" w:rsidTr="004E392D">
        <w:trPr>
          <w:trHeight w:val="494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C92" w:rsidRPr="009D63BC" w:rsidRDefault="00F25C92" w:rsidP="00F25C92">
            <w:pPr>
              <w:jc w:val="center"/>
              <w:rPr>
                <w:sz w:val="22"/>
              </w:rPr>
            </w:pPr>
            <w:r w:rsidRPr="009D63BC">
              <w:rPr>
                <w:rFonts w:eastAsia="HiddenHorzOCR"/>
                <w:b/>
                <w:sz w:val="22"/>
              </w:rPr>
              <w:lastRenderedPageBreak/>
              <w:t>5.Развитие национальных отношений и урегулирование споров и конфликтов</w:t>
            </w:r>
          </w:p>
        </w:tc>
      </w:tr>
      <w:tr w:rsidR="00D40F74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25C92" w:rsidRPr="009D63BC" w:rsidRDefault="00F25C92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6</w:t>
            </w:r>
          </w:p>
          <w:p w:rsidR="00F25C92" w:rsidRPr="009D63BC" w:rsidRDefault="00F25C92" w:rsidP="00D40F74">
            <w:pPr>
              <w:pStyle w:val="a8"/>
              <w:ind w:left="-57" w:right="-57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(15)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25C92" w:rsidRPr="009D63BC" w:rsidRDefault="00F25C92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Реализация государственной программы Республики Дагестан «Реализация Стратегии государственной национальной политики  Российской Федерации на период до 2025 года» в Республике Дагестан на 2015–2017 годы»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F25C92" w:rsidRPr="009D63BC" w:rsidRDefault="00F25C92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F25C92" w:rsidRPr="009D63BC" w:rsidRDefault="00F25C92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C92" w:rsidRPr="009D63BC" w:rsidRDefault="00F25C92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укрепление единства и целостности Российской Федерации, сохранение этнокультурной самобытности народов, населяющих республику, обеспечение конституционных прав и свобод граждан, гармонизация национальных и межнациональных отношений</w:t>
            </w:r>
          </w:p>
        </w:tc>
      </w:tr>
      <w:tr w:rsidR="00D4636C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4636C" w:rsidRPr="009D63BC" w:rsidRDefault="00370183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6.1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4636C" w:rsidRPr="009D63BC" w:rsidRDefault="00D4636C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Организовать проведение мониторинга с целью оценки межнациональных отношений  в МО «Дербентский район».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D4636C" w:rsidRPr="009D63BC" w:rsidRDefault="00D4636C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36C" w:rsidRPr="009D63BC" w:rsidRDefault="00D4636C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36C" w:rsidRPr="009D63BC" w:rsidRDefault="00D4636C" w:rsidP="002D669F">
            <w:pPr>
              <w:rPr>
                <w:sz w:val="22"/>
              </w:rPr>
            </w:pPr>
          </w:p>
        </w:tc>
      </w:tr>
      <w:tr w:rsidR="00D4636C" w:rsidRPr="009D63BC" w:rsidTr="004E392D">
        <w:trPr>
          <w:trHeight w:val="423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636C" w:rsidRPr="009D63BC" w:rsidRDefault="00D4636C" w:rsidP="002D669F">
            <w:pPr>
              <w:rPr>
                <w:sz w:val="22"/>
              </w:rPr>
            </w:pPr>
            <w:r w:rsidRPr="009D63BC">
              <w:rPr>
                <w:sz w:val="22"/>
              </w:rPr>
              <w:t>Комментарий:</w:t>
            </w:r>
          </w:p>
        </w:tc>
      </w:tr>
      <w:tr w:rsidR="00F25C92" w:rsidRPr="009D63BC" w:rsidTr="004E392D">
        <w:trPr>
          <w:trHeight w:val="563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C92" w:rsidRPr="009D63BC" w:rsidRDefault="00F25C92" w:rsidP="00F25C92">
            <w:pPr>
              <w:jc w:val="center"/>
              <w:rPr>
                <w:sz w:val="22"/>
              </w:rPr>
            </w:pPr>
            <w:r w:rsidRPr="009D63BC">
              <w:rPr>
                <w:rFonts w:eastAsia="HiddenHorzOCR"/>
                <w:b/>
                <w:sz w:val="22"/>
              </w:rPr>
              <w:t>6. Участие молодежи и общественных организаций в реализации проекта.</w:t>
            </w:r>
          </w:p>
        </w:tc>
      </w:tr>
      <w:tr w:rsidR="00D40F74" w:rsidRPr="009D63BC" w:rsidTr="004E392D">
        <w:trPr>
          <w:trHeight w:val="1109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25C92" w:rsidRPr="009D63BC" w:rsidRDefault="00F25C92" w:rsidP="001265F1">
            <w:pPr>
              <w:pStyle w:val="a8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7</w:t>
            </w:r>
          </w:p>
          <w:p w:rsidR="00F25C92" w:rsidRPr="009D63BC" w:rsidRDefault="00F25C92" w:rsidP="00D40F74">
            <w:pPr>
              <w:pStyle w:val="a8"/>
              <w:ind w:left="-57" w:right="-57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D63BC">
              <w:rPr>
                <w:rFonts w:eastAsia="Times New Roman"/>
                <w:b/>
                <w:bCs/>
                <w:sz w:val="22"/>
                <w:lang w:eastAsia="ru-RU"/>
              </w:rPr>
              <w:t>(</w:t>
            </w:r>
            <w:r w:rsidRPr="009D63BC">
              <w:rPr>
                <w:rFonts w:eastAsia="Times New Roman"/>
                <w:bCs/>
                <w:sz w:val="22"/>
                <w:lang w:eastAsia="ru-RU"/>
              </w:rPr>
              <w:t>19)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25C92" w:rsidRPr="009D63BC" w:rsidRDefault="00F25C92" w:rsidP="002D669F">
            <w:pPr>
              <w:rPr>
                <w:sz w:val="22"/>
              </w:rPr>
            </w:pPr>
            <w:r w:rsidRPr="009D63BC">
              <w:rPr>
                <w:color w:val="000000"/>
                <w:sz w:val="22"/>
                <w:shd w:val="clear" w:color="auto" w:fill="FFFFFF"/>
              </w:rPr>
              <w:t>Организация и проведение просветительских семинаров «Мирный Дагестан» в территориальных округах Республики Дагестан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F25C92" w:rsidRPr="009D63BC" w:rsidRDefault="00F25C92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F25C92" w:rsidRPr="009D63BC" w:rsidRDefault="00F25C92" w:rsidP="00C8073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C92" w:rsidRPr="009D63BC" w:rsidRDefault="00F25C92" w:rsidP="00C80739">
            <w:pPr>
              <w:spacing w:after="0" w:line="24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C92" w:rsidRPr="009D63BC" w:rsidRDefault="00F25C92" w:rsidP="00F25C92">
            <w:pPr>
              <w:rPr>
                <w:sz w:val="22"/>
              </w:rPr>
            </w:pPr>
            <w:r w:rsidRPr="009D63BC">
              <w:rPr>
                <w:sz w:val="22"/>
              </w:rPr>
              <w:t>создание эффективной системы просвещения граждан в сфере культурного и конфессионального многообразия и исторического единства жителей республики</w:t>
            </w:r>
          </w:p>
          <w:p w:rsidR="00F25C92" w:rsidRPr="009D63BC" w:rsidRDefault="00F25C92" w:rsidP="002D669F">
            <w:pPr>
              <w:rPr>
                <w:sz w:val="22"/>
              </w:rPr>
            </w:pPr>
          </w:p>
        </w:tc>
      </w:tr>
      <w:tr w:rsidR="00370183" w:rsidRPr="009D63BC" w:rsidTr="004E392D">
        <w:trPr>
          <w:trHeight w:val="1109"/>
        </w:trPr>
        <w:tc>
          <w:tcPr>
            <w:tcW w:w="16160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183" w:rsidRPr="009D63BC" w:rsidRDefault="00370183" w:rsidP="00F25C92">
            <w:pPr>
              <w:rPr>
                <w:sz w:val="22"/>
              </w:rPr>
            </w:pPr>
            <w:r w:rsidRPr="009D63BC">
              <w:rPr>
                <w:b/>
                <w:sz w:val="22"/>
              </w:rPr>
              <w:t>Комментарий</w:t>
            </w:r>
            <w:r w:rsidRPr="009D63BC">
              <w:rPr>
                <w:sz w:val="22"/>
              </w:rPr>
              <w:t>:</w:t>
            </w:r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</w:t>
            </w:r>
            <w:r w:rsidR="00FC312F" w:rsidRPr="009D63BC">
              <w:rPr>
                <w:b/>
                <w:color w:val="000000"/>
                <w:sz w:val="22"/>
                <w:shd w:val="clear" w:color="auto" w:fill="FFFFFF"/>
              </w:rPr>
              <w:t>12 февраля</w:t>
            </w:r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в администрации села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Аглоби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состоялся круглый стол на </w:t>
            </w:r>
            <w:proofErr w:type="gram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тему  «</w:t>
            </w:r>
            <w:proofErr w:type="gram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Профилактика терроризма и экстремизма в молодежной среде». На мероприятии присутствовали начальник РУО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Мугутдин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Кахриманов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, глава села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Аглоби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Марат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Магомедагаев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, ведущие </w:t>
            </w:r>
            <w:proofErr w:type="gram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специалисты  отдела</w:t>
            </w:r>
            <w:proofErr w:type="gram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по антитеррористической работе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Шахбаз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Гаджиалиев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и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Мевлан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Султанахмедов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Амираслан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Мамедбеков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,  педагоги школы и жители села. «Нужно </w:t>
            </w:r>
            <w:proofErr w:type="gram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обеспечить  наиболее</w:t>
            </w:r>
            <w:proofErr w:type="gram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подготовленными педагогами и специалистами работу по разъяснению проблемы терроризма и экстремизма в современном обществе. Целью подобных круглых столов является </w:t>
            </w:r>
            <w:proofErr w:type="gram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осознание угрозы</w:t>
            </w:r>
            <w:proofErr w:type="gram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которую несет в себе терроризм» - подчеркнул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Шахбаз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Гаджиалиев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. За последние два года уровень террористической угрозы </w:t>
            </w:r>
            <w:proofErr w:type="gram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в  республике</w:t>
            </w:r>
            <w:proofErr w:type="gram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и в муниципалитетах снизился благодаря  взаимодействию духовенства, общественности, правоохранительных органов и власти. В своих выступлениях Глава Дербентского района Магомед </w:t>
            </w:r>
            <w:proofErr w:type="spellStart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>Джелилов</w:t>
            </w:r>
            <w:proofErr w:type="spellEnd"/>
            <w:r w:rsidR="00FC312F" w:rsidRPr="009D63BC">
              <w:rPr>
                <w:rFonts w:ascii="Pt Sans" w:hAnsi="Pt Sans"/>
                <w:color w:val="000000"/>
                <w:sz w:val="22"/>
                <w:shd w:val="clear" w:color="auto" w:fill="FFFFFF"/>
              </w:rPr>
              <w:t xml:space="preserve"> акцентирует свое внимание на популяризации подобных мероприятий.</w:t>
            </w:r>
          </w:p>
        </w:tc>
      </w:tr>
    </w:tbl>
    <w:p w:rsidR="00BB3D37" w:rsidRPr="009D63BC" w:rsidRDefault="00BB3D37">
      <w:pPr>
        <w:rPr>
          <w:sz w:val="22"/>
        </w:rPr>
      </w:pPr>
    </w:p>
    <w:sectPr w:rsidR="00BB3D37" w:rsidRPr="009D63BC" w:rsidSect="00160C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90B"/>
    <w:multiLevelType w:val="hybridMultilevel"/>
    <w:tmpl w:val="0B66AF0A"/>
    <w:lvl w:ilvl="0" w:tplc="B3DA4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C8E"/>
    <w:multiLevelType w:val="hybridMultilevel"/>
    <w:tmpl w:val="7FA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4AFE"/>
    <w:multiLevelType w:val="hybridMultilevel"/>
    <w:tmpl w:val="3A04FF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4072"/>
    <w:multiLevelType w:val="hybridMultilevel"/>
    <w:tmpl w:val="5E86C0AE"/>
    <w:lvl w:ilvl="0" w:tplc="961A0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739"/>
    <w:rsid w:val="00001021"/>
    <w:rsid w:val="00004400"/>
    <w:rsid w:val="00015C72"/>
    <w:rsid w:val="00021192"/>
    <w:rsid w:val="000356AE"/>
    <w:rsid w:val="0005194C"/>
    <w:rsid w:val="0005786C"/>
    <w:rsid w:val="000716D4"/>
    <w:rsid w:val="000A3D0A"/>
    <w:rsid w:val="000B7517"/>
    <w:rsid w:val="000B7A02"/>
    <w:rsid w:val="000C2D10"/>
    <w:rsid w:val="000C3123"/>
    <w:rsid w:val="000D2682"/>
    <w:rsid w:val="000D6DE0"/>
    <w:rsid w:val="000E4B8C"/>
    <w:rsid w:val="001008BA"/>
    <w:rsid w:val="00104401"/>
    <w:rsid w:val="00117B0F"/>
    <w:rsid w:val="00124D27"/>
    <w:rsid w:val="001265F1"/>
    <w:rsid w:val="0013240A"/>
    <w:rsid w:val="00165581"/>
    <w:rsid w:val="0017269B"/>
    <w:rsid w:val="00194E47"/>
    <w:rsid w:val="001C2513"/>
    <w:rsid w:val="001E0564"/>
    <w:rsid w:val="001F536B"/>
    <w:rsid w:val="00206EFC"/>
    <w:rsid w:val="00231DAF"/>
    <w:rsid w:val="0025185E"/>
    <w:rsid w:val="0027014D"/>
    <w:rsid w:val="00270B10"/>
    <w:rsid w:val="00280391"/>
    <w:rsid w:val="002D669F"/>
    <w:rsid w:val="002E6AD2"/>
    <w:rsid w:val="002F059E"/>
    <w:rsid w:val="003373CD"/>
    <w:rsid w:val="00360900"/>
    <w:rsid w:val="00366BDD"/>
    <w:rsid w:val="00370183"/>
    <w:rsid w:val="003A7A0F"/>
    <w:rsid w:val="003B26CE"/>
    <w:rsid w:val="003C39E8"/>
    <w:rsid w:val="003E7393"/>
    <w:rsid w:val="00400151"/>
    <w:rsid w:val="00422F5A"/>
    <w:rsid w:val="0042725E"/>
    <w:rsid w:val="004D7156"/>
    <w:rsid w:val="004E392D"/>
    <w:rsid w:val="004E56EB"/>
    <w:rsid w:val="00500912"/>
    <w:rsid w:val="00526340"/>
    <w:rsid w:val="00540062"/>
    <w:rsid w:val="005A6FC2"/>
    <w:rsid w:val="00624E3A"/>
    <w:rsid w:val="00632107"/>
    <w:rsid w:val="00634303"/>
    <w:rsid w:val="0063601A"/>
    <w:rsid w:val="0067350F"/>
    <w:rsid w:val="006B20BD"/>
    <w:rsid w:val="006F3EB9"/>
    <w:rsid w:val="0071499C"/>
    <w:rsid w:val="00724C4B"/>
    <w:rsid w:val="007302C2"/>
    <w:rsid w:val="00740016"/>
    <w:rsid w:val="00745450"/>
    <w:rsid w:val="00752355"/>
    <w:rsid w:val="00757EF1"/>
    <w:rsid w:val="00763405"/>
    <w:rsid w:val="00773E47"/>
    <w:rsid w:val="00782B38"/>
    <w:rsid w:val="007919D9"/>
    <w:rsid w:val="007A6514"/>
    <w:rsid w:val="007C2C1A"/>
    <w:rsid w:val="007D15C4"/>
    <w:rsid w:val="0082012E"/>
    <w:rsid w:val="00840AC2"/>
    <w:rsid w:val="008442DE"/>
    <w:rsid w:val="00852007"/>
    <w:rsid w:val="00894174"/>
    <w:rsid w:val="008B009F"/>
    <w:rsid w:val="008B01D1"/>
    <w:rsid w:val="008C2A07"/>
    <w:rsid w:val="008F39AE"/>
    <w:rsid w:val="00904CBC"/>
    <w:rsid w:val="00906A28"/>
    <w:rsid w:val="00940946"/>
    <w:rsid w:val="009432DF"/>
    <w:rsid w:val="00966BE9"/>
    <w:rsid w:val="0097094C"/>
    <w:rsid w:val="009D63BC"/>
    <w:rsid w:val="009F0CB1"/>
    <w:rsid w:val="009F1099"/>
    <w:rsid w:val="00A06384"/>
    <w:rsid w:val="00A074FE"/>
    <w:rsid w:val="00A15984"/>
    <w:rsid w:val="00A17754"/>
    <w:rsid w:val="00A31059"/>
    <w:rsid w:val="00A37EE1"/>
    <w:rsid w:val="00A40E35"/>
    <w:rsid w:val="00A47ED2"/>
    <w:rsid w:val="00A67453"/>
    <w:rsid w:val="00A70BF3"/>
    <w:rsid w:val="00A944BB"/>
    <w:rsid w:val="00AA2996"/>
    <w:rsid w:val="00AA5805"/>
    <w:rsid w:val="00B35970"/>
    <w:rsid w:val="00B806AC"/>
    <w:rsid w:val="00B85288"/>
    <w:rsid w:val="00BA6DA0"/>
    <w:rsid w:val="00BB0080"/>
    <w:rsid w:val="00BB3D37"/>
    <w:rsid w:val="00BC6B0A"/>
    <w:rsid w:val="00BF1906"/>
    <w:rsid w:val="00C107AC"/>
    <w:rsid w:val="00C249D8"/>
    <w:rsid w:val="00C55454"/>
    <w:rsid w:val="00C70DFF"/>
    <w:rsid w:val="00C75B4D"/>
    <w:rsid w:val="00C80739"/>
    <w:rsid w:val="00CA28F4"/>
    <w:rsid w:val="00CF19C1"/>
    <w:rsid w:val="00CF35A0"/>
    <w:rsid w:val="00D247EC"/>
    <w:rsid w:val="00D256E8"/>
    <w:rsid w:val="00D40F74"/>
    <w:rsid w:val="00D4636C"/>
    <w:rsid w:val="00D52074"/>
    <w:rsid w:val="00D579CC"/>
    <w:rsid w:val="00D57F9F"/>
    <w:rsid w:val="00D74110"/>
    <w:rsid w:val="00DE20DE"/>
    <w:rsid w:val="00DE51EF"/>
    <w:rsid w:val="00E05299"/>
    <w:rsid w:val="00E41483"/>
    <w:rsid w:val="00E425CB"/>
    <w:rsid w:val="00E668DD"/>
    <w:rsid w:val="00E85066"/>
    <w:rsid w:val="00EB4160"/>
    <w:rsid w:val="00EB7EF7"/>
    <w:rsid w:val="00EE2857"/>
    <w:rsid w:val="00EE4456"/>
    <w:rsid w:val="00EF2345"/>
    <w:rsid w:val="00F12A28"/>
    <w:rsid w:val="00F14867"/>
    <w:rsid w:val="00F2048F"/>
    <w:rsid w:val="00F23B13"/>
    <w:rsid w:val="00F25C92"/>
    <w:rsid w:val="00F546F2"/>
    <w:rsid w:val="00F7320A"/>
    <w:rsid w:val="00F74C08"/>
    <w:rsid w:val="00FA3A7D"/>
    <w:rsid w:val="00FC312F"/>
    <w:rsid w:val="00FC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DA0E"/>
  <w15:docId w15:val="{924B9FAA-446F-4A0D-A802-8B804AAD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39"/>
    <w:pPr>
      <w:spacing w:after="200" w:line="276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26340"/>
    <w:pPr>
      <w:spacing w:before="100" w:beforeAutospacing="1" w:after="100" w:afterAutospacing="1" w:line="240" w:lineRule="auto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80739"/>
    <w:rPr>
      <w:rFonts w:ascii="Tahoma" w:eastAsia="Calibri" w:hAnsi="Tahoma" w:cs="Tahoma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rsid w:val="00C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6340"/>
    <w:rPr>
      <w:rFonts w:ascii="Times New Roman" w:eastAsia="Times New Roman" w:hAnsi="Times New Roman" w:cs="Times New Roman"/>
      <w:kern w:val="36"/>
      <w:sz w:val="48"/>
      <w:szCs w:val="48"/>
    </w:rPr>
  </w:style>
  <w:style w:type="table" w:styleId="a5">
    <w:name w:val="Table Grid"/>
    <w:basedOn w:val="a1"/>
    <w:uiPriority w:val="59"/>
    <w:rsid w:val="005263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autoRedefine/>
    <w:uiPriority w:val="99"/>
    <w:rsid w:val="00526340"/>
    <w:pPr>
      <w:spacing w:after="160" w:line="240" w:lineRule="exact"/>
    </w:pPr>
    <w:rPr>
      <w:rFonts w:eastAsia="SimSun"/>
      <w:szCs w:val="28"/>
      <w:lang w:val="en-US"/>
    </w:rPr>
  </w:style>
  <w:style w:type="table" w:customStyle="1" w:styleId="11">
    <w:name w:val="Сетка таблицы1"/>
    <w:uiPriority w:val="99"/>
    <w:rsid w:val="00F7320A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320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F732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B3D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1265F1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efault">
    <w:name w:val="Default"/>
    <w:rsid w:val="005A6F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9">
    <w:name w:val="Основной текст_"/>
    <w:basedOn w:val="a0"/>
    <w:link w:val="12"/>
    <w:rsid w:val="007454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9"/>
    <w:rsid w:val="00745450"/>
    <w:pPr>
      <w:shd w:val="clear" w:color="auto" w:fill="FFFFFF"/>
      <w:spacing w:after="0" w:line="274" w:lineRule="exact"/>
      <w:ind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450"/>
  </w:style>
  <w:style w:type="paragraph" w:customStyle="1" w:styleId="2">
    <w:name w:val="Основной текст2"/>
    <w:basedOn w:val="a"/>
    <w:rsid w:val="00104401"/>
    <w:pPr>
      <w:widowControl w:val="0"/>
      <w:shd w:val="clear" w:color="auto" w:fill="FFFFFF"/>
      <w:spacing w:after="120" w:line="720" w:lineRule="exact"/>
    </w:pPr>
    <w:rPr>
      <w:rFonts w:eastAsia="Times New Roman"/>
      <w:sz w:val="25"/>
      <w:szCs w:val="25"/>
      <w:lang w:eastAsia="ru-RU"/>
    </w:rPr>
  </w:style>
  <w:style w:type="character" w:customStyle="1" w:styleId="115pt">
    <w:name w:val="Основной текст + 11;5 pt"/>
    <w:basedOn w:val="a0"/>
    <w:rsid w:val="00104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"/>
    <w:rsid w:val="001008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1758-8228-46E6-AA41-D6559CBD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Бэлла</dc:creator>
  <cp:lastModifiedBy>MASHEENA</cp:lastModifiedBy>
  <cp:revision>45</cp:revision>
  <cp:lastPrinted>2016-02-26T11:55:00Z</cp:lastPrinted>
  <dcterms:created xsi:type="dcterms:W3CDTF">2015-04-20T13:42:00Z</dcterms:created>
  <dcterms:modified xsi:type="dcterms:W3CDTF">2016-04-05T14:32:00Z</dcterms:modified>
</cp:coreProperties>
</file>